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xjsixktsox</w:t>
      </w:r>
    </w:p>
    <w:p>
      <w:pPr>
        <w:pStyle w:val="FirstParagraph"/>
      </w:pPr>
      <w:r>
        <w:t xml:space="preserve">carboncalcpcf.com</w:t>
      </w:r>
    </w:p>
    <w:bookmarkStart w:id="20" w:name="product-carbon-footprint-analysis"/>
    <w:p>
      <w:pPr>
        <w:pStyle w:val="Heading1"/>
      </w:pPr>
      <w:r>
        <w:t xml:space="preserve">Product Carbon Footprint Analysis</w:t>
      </w:r>
    </w:p>
    <w:bookmarkEnd w:id="20"/>
    <w:bookmarkStart w:id="21" w:name="for-xjsixktsox"/>
    <w:p>
      <w:pPr>
        <w:pStyle w:val="Heading1"/>
      </w:pPr>
      <w:r>
        <w:t xml:space="preserve">for xjsixktsox</w:t>
      </w:r>
    </w:p>
    <w:p>
      <w:pPr>
        <w:pStyle w:val="FirstParagraph"/>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qlvmdffuse</w:t>
      </w:r>
    </w:p>
    <w:p>
      <w:pPr>
        <w:pStyle w:val="BodyText"/>
      </w:pPr>
      <w:r>
        <w:rPr>
          <w:bCs/>
          <w:b/>
        </w:rPr>
        <w:t xml:space="preserve">Senior Sustainability Consultant:</w:t>
      </w:r>
      <w:r>
        <w:t xml:space="preserve"> </w:t>
      </w:r>
      <w:r>
        <w:t xml:space="preserve">nvopegfome</w:t>
      </w:r>
    </w:p>
    <w:p>
      <w:pPr>
        <w:pStyle w:val="BodyText"/>
      </w:pPr>
      <w:r>
        <w:rPr>
          <w:bCs/>
          <w:b/>
        </w:rPr>
        <w:t xml:space="preserve">Disclaimer:</w:t>
      </w:r>
      <w:r>
        <w:t xml:space="preserve"> </w:t>
      </w:r>
      <w:r>
        <w:t xml:space="preserve">This report is generated based on available data, specified parameters, and industry standards for illustrative purposes. Actual values for a comprehensive PCF analysis would require direct primary data collection from all relevant sources in the supply chain. The Bill of Materials (BOM) values and other quantitative inputs used for calculations within this report are illustrative, as the provided \'nryiwuft\' string does not contain parsable BOM data.</w:t>
      </w:r>
    </w:p>
    <w:bookmarkEnd w:id="21"/>
    <w:bookmarkStart w:id="51" w:name="Xb45569d56c70eaa9f083dd6a765a9628c66725b"/>
    <w:p>
      <w:pPr>
        <w:pStyle w:val="Heading1"/>
      </w:pPr>
      <w:r>
        <w:t xml:space="preserve">Product Carbon Footprint Analysis for xjsixktsox</w:t>
      </w:r>
    </w:p>
    <w:p>
      <w:pPr>
        <w:pStyle w:val="FirstParagraph"/>
      </w:pPr>
      <w:r>
        <w:t xml:space="preserve">Generated Date: June 1,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xjsixktsox, on behalf of qlvmdffuse. The analysis was conducted by nvopegfome, a Senior Sustainability Consultant specializing in the GHG Protocol. The primary objective is to quantify the greenhouse gas (GHG) emissions associated with the product\'s lifecycle, from raw material acquisition through to the factory gate, including downstream use and end-of-life considerations. This assessment adheres strictly to the GHG Protocol, incorporating the 2026 Land Sector and Removals (LSR) Standard and aiming for at least 95% coverage for Scope 3 emissions. The findings aim to identify key emission hotspots and provide a basis for strategic decarbonization efforts for xjsixktsox.</w:t>
      </w:r>
    </w:p>
    <w:p>
      <w:r>
        <w:pict>
          <v:rect style="width:0;height:1.5pt" o:hralign="center" o:hrstd="t" o:hr="t"/>
        </w:pict>
      </w:r>
    </w:p>
    <w:bookmarkEnd w:id="22"/>
    <w:bookmarkStart w:id="27" w:name="defining-the-scope-of-the-analysis"/>
    <w:p>
      <w:pPr>
        <w:pStyle w:val="Heading2"/>
      </w:pPr>
      <w:r>
        <w:t xml:space="preserve">1. Defining the Scope of the Analysis</w:t>
      </w:r>
    </w:p>
    <w:p>
      <w:pPr>
        <w:pStyle w:val="FirstParagraph"/>
      </w:pPr>
      <w:r>
        <w:t xml:space="preserve">The first step in performing a robust PCF analysis involves clearly defining the scope of the assessment, ensuring consistency and transparency in reporting.</w:t>
      </w:r>
    </w:p>
    <w:bookmarkStart w:id="23" w:name="functional-unit"/>
    <w:p>
      <w:pPr>
        <w:pStyle w:val="Heading3"/>
      </w:pPr>
      <w:r>
        <w:t xml:space="preserve">1.1 Functional Unit</w:t>
      </w:r>
    </w:p>
    <w:p>
      <w:pPr>
        <w:pStyle w:val="FirstParagraph"/>
      </w:pPr>
      <w:r>
        <w:t xml:space="preserve">The functional unit for this analysis is defined as</w:t>
      </w:r>
      <w:r>
        <w:t xml:space="preserve"> </w:t>
      </w:r>
      <w:r>
        <w:rPr>
          <w:bCs/>
          <w:b/>
        </w:rPr>
        <w:t xml:space="preserve">1.0 unit</w:t>
      </w:r>
      <w:r>
        <w:t xml:space="preserve"> </w:t>
      </w:r>
      <w:r>
        <w:t xml:space="preserve">of xjsixktsox. This unit serves as a reference basis for quantifying inputs and outputs throughout the product\'s lifecycle, allowing for consistent comparison and aggregation of environmental impacts.</w:t>
      </w:r>
    </w:p>
    <w:bookmarkEnd w:id="23"/>
    <w:bookmarkStart w:id="24" w:name="system-boundary"/>
    <w:p>
      <w:pPr>
        <w:pStyle w:val="Heading3"/>
      </w:pPr>
      <w:r>
        <w:t xml:space="preserve">1.2 System Boundary</w:t>
      </w:r>
    </w:p>
    <w:p>
      <w:pPr>
        <w:pStyle w:val="FirstParagraph"/>
      </w:pPr>
      <w:r>
        <w:t xml:space="preserve">The system boundary for this PCF analysis is set at</w:t>
      </w:r>
      <w:r>
        <w:t xml:space="preserve"> </w:t>
      </w:r>
      <w:r>
        <w:rPr>
          <w:bCs/>
          <w:b/>
        </w:rPr>
        <w:t xml:space="preserve">factory_gate</w:t>
      </w:r>
      <w:r>
        <w:t xml:space="preserve">. This "cradle-to-gate" approach encompasses all activities from the extraction and processing of raw materials, manufacturing of components, and transportation to the final production facility, up to the point where the finished product leaves the factory gate. Additionally, to provide a comprehensive view, the analysis also incorporates significant downstream emissions from the Use Phase and End-of-Life scenarios as per the project requirements, categorized under Scope 3.</w:t>
      </w:r>
    </w:p>
    <w:bookmarkEnd w:id="24"/>
    <w:bookmarkStart w:id="25" w:name="geographic-scope"/>
    <w:p>
      <w:pPr>
        <w:pStyle w:val="Heading3"/>
      </w:pPr>
      <w:r>
        <w:t xml:space="preserve">1.3 Geographic Scope</w:t>
      </w:r>
    </w:p>
    <w:p>
      <w:pPr>
        <w:pStyle w:val="FirstParagraph"/>
      </w:pPr>
      <w:r>
        <w:t xml:space="preserve">The</w:t>
      </w:r>
      <w:r>
        <w:t xml:space="preserve"> </w:t>
      </w:r>
      <w:r>
        <w:rPr>
          <w:bCs/>
          <w:b/>
        </w:rPr>
        <w:t xml:space="preserve">Final Production Country is China</w:t>
      </w:r>
      <w:r>
        <w:t xml:space="preserve">. The</w:t>
      </w:r>
      <w:r>
        <w:t xml:space="preserve"> </w:t>
      </w:r>
      <w:r>
        <w:rPr>
          <w:bCs/>
          <w:b/>
        </w:rPr>
        <w:t xml:space="preserve">Supply Chain Focus is Europe Focused</w:t>
      </w:r>
      <w:r>
        <w:t xml:space="preserve">, implying that many upstream raw material and component suppliers, as well as potential distribution and use phase regions, are concentrated within Europe. This geographic focus informs the selection of region-specific emission factors where applicable, particularly for energy grids and transportation.</w:t>
      </w:r>
    </w:p>
    <w:bookmarkEnd w:id="25"/>
    <w:bookmarkStart w:id="26" w:name="allocation"/>
    <w:p>
      <w:pPr>
        <w:pStyle w:val="Heading3"/>
      </w:pPr>
      <w:r>
        <w:t xml:space="preserve">1.4 Allocation</w:t>
      </w:r>
    </w:p>
    <w:p>
      <w:pPr>
        <w:pStyle w:val="FirstParagraph"/>
      </w:pPr>
      <w:r>
        <w:t xml:space="preserve">For this product-level assessment, allocation methods are applied to distribute environmental burdens from multi-output processes. Given the nature of a single product (xjsixktsox) as the functional unit, direct attribution is primarily used. For shared processes (e.g., utility consumption at a manufacturing plant that produces multiple products), emissions are allocated based on a suitable metric such as mass or economic value, assuming proportionality. Specific allocation details for co-products or by-products are determined on a case-by-case basis based on their relative significance, adhering to GHG Protocol principles.</w:t>
      </w:r>
    </w:p>
    <w:p>
      <w:r>
        <w:pict>
          <v:rect style="width:0;height:1.5pt" o:hralign="center" o:hrstd="t" o:hr="t"/>
        </w:pict>
      </w:r>
    </w:p>
    <w:bookmarkEnd w:id="26"/>
    <w:bookmarkEnd w:id="27"/>
    <w:bookmarkStart w:id="33" w:name="X67a184d385d95f1f2ba987b7a85ed49c54816d0"/>
    <w:p>
      <w:pPr>
        <w:pStyle w:val="Heading2"/>
      </w:pPr>
      <w:r>
        <w:t xml:space="preserve">2. Mapping the Lifecycle and 3. Data Collection (LCI Inventory)</w:t>
      </w:r>
    </w:p>
    <w:p>
      <w:pPr>
        <w:pStyle w:val="FirstParagraph"/>
      </w:pPr>
      <w:r>
        <w:t xml:space="preserve">This section details the lifecycle stages considered and the primary and secondary data points collected for the Product Carbon Footprint of xjsixktsox. As specified, the analysis adheres to the</w:t>
      </w:r>
      <w:r>
        <w:t xml:space="preserve"> </w:t>
      </w:r>
      <w:r>
        <w:rPr>
          <w:bCs/>
          <w:b/>
        </w:rPr>
        <w:t xml:space="preserve">GHG Protocol</w:t>
      </w:r>
      <w:r>
        <w:t xml:space="preserve">, categorizing emissions into Scope 1 (direct), Scope 2 (purchased energy), and Scope 3 (value chain).</w:t>
      </w:r>
    </w:p>
    <w:bookmarkStart w:id="28" w:name="X463928e4fe59efd899bf7f16e9f46d8a8c9599b"/>
    <w:p>
      <w:pPr>
        <w:pStyle w:val="Heading3"/>
      </w:pPr>
      <w:r>
        <w:t xml:space="preserve">2.1 Materials and Components (Scope 3 - Upstream)</w:t>
      </w:r>
    </w:p>
    <w:p>
      <w:pPr>
        <w:pStyle w:val="FirstParagraph"/>
      </w:pPr>
      <w:r>
        <w:t xml:space="preserve">The Detailed Bill of Materials (BOM) for xjsixktsox is a critical input for high-accuracy material impact calculation. While the specific data string "nryiwuft" was provided as the placeholder for the BOM, actual data was not parsable from this string. Therefore, illustrative BOM items and their associated carbon impacts are presented below, demonstrating how the provided format would be used in calculation. In a real assessment, precise data for each material and its manufacturing process would be collected.</w:t>
      </w:r>
    </w:p>
    <w:p>
      <w:pPr>
        <w:pStyle w:val="BodyText"/>
      </w:pPr>
      <w:r>
        <w:rPr>
          <w:bCs/>
          <w:b/>
        </w:rPr>
        <w:t xml:space="preserve">Illustrative Detailed Bill of Materials (BOM) for xjsixktsox:</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Illustrative Emission Factor (kgCO2e/unit)</w:t>
            </w:r>
          </w:p>
        </w:tc>
        <w:tc>
          <w:tcPr/>
          <w:p>
            <w:pPr>
              <w:pStyle w:val="Compact"/>
              <w:jc w:val="left"/>
            </w:pPr>
            <w:r>
              <w:t xml:space="preserve">Illustrative Total Carbon (kgCO2e)</w:t>
            </w:r>
          </w:p>
        </w:tc>
      </w:tr>
      <w:tr>
        <w:tc>
          <w:tcPr/>
          <w:p>
            <w:pPr>
              <w:pStyle w:val="Compact"/>
              <w:jc w:val="left"/>
            </w:pPr>
            <w:r>
              <w:t xml:space="preserve">M1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10.0</w:t>
            </w:r>
          </w:p>
        </w:tc>
        <w:tc>
          <w:tcPr/>
          <w:p>
            <w:pPr>
              <w:pStyle w:val="Compact"/>
              <w:jc w:val="left"/>
            </w:pPr>
            <w:r>
              <w:t xml:space="preserve">5.0</w:t>
            </w:r>
          </w:p>
        </w:tc>
      </w:tr>
      <w:tr>
        <w:tc>
          <w:tcPr/>
          <w:p>
            <w:pPr>
              <w:pStyle w:val="Compact"/>
              <w:jc w:val="left"/>
            </w:pPr>
            <w:r>
              <w:t xml:space="preserve">P1</w:t>
            </w:r>
          </w:p>
        </w:tc>
        <w:tc>
          <w:tcPr/>
          <w:p>
            <w:pPr>
              <w:pStyle w:val="Compact"/>
              <w:jc w:val="left"/>
            </w:pPr>
            <w:r>
              <w:t xml:space="preserve">ABS Plastic Components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w:t>
            </w:r>
          </w:p>
        </w:tc>
      </w:tr>
      <w:tr>
        <w:tc>
          <w:tcPr/>
          <w:p>
            <w:pPr>
              <w:pStyle w:val="Compact"/>
              <w:jc w:val="left"/>
            </w:pPr>
            <w:r>
              <w:t xml:space="preserve">E1</w:t>
            </w:r>
          </w:p>
        </w:tc>
        <w:tc>
          <w:tcPr/>
          <w:p>
            <w:pPr>
              <w:pStyle w:val="Compact"/>
              <w:jc w:val="left"/>
            </w:pPr>
            <w:r>
              <w:t xml:space="preserve">Electronic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2.0</w:t>
            </w:r>
          </w:p>
        </w:tc>
      </w:tr>
      <w:tr>
        <w:tc>
          <w:tcPr/>
          <w:p>
            <w:pPr>
              <w:pStyle w:val="Compact"/>
              <w:jc w:val="left"/>
            </w:pPr>
            <w:r>
              <w:t xml:space="preserve">Pk1</w:t>
            </w:r>
          </w:p>
        </w:tc>
        <w:tc>
          <w:tcPr/>
          <w:p>
            <w:pPr>
              <w:pStyle w:val="Compact"/>
              <w:jc w:val="left"/>
            </w:pPr>
            <w:r>
              <w:t xml:space="preserve">Cardboard Packaging</w:t>
            </w:r>
          </w:p>
        </w:tc>
        <w:tc>
          <w:tcPr/>
          <w:p>
            <w:pPr>
              <w:pStyle w:val="Compact"/>
              <w:jc w:val="left"/>
            </w:pPr>
            <w:r>
              <w:t xml:space="preserve">Paper/Wood</w:t>
            </w:r>
          </w:p>
        </w:tc>
        <w:tc>
          <w:tcPr/>
          <w:p>
            <w:pPr>
              <w:pStyle w:val="Compact"/>
              <w:jc w:val="left"/>
            </w:pPr>
            <w:r>
              <w:t xml:space="preserve">Converting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1.5</w:t>
            </w:r>
          </w:p>
        </w:tc>
        <w:tc>
          <w:tcPr/>
          <w:p>
            <w:pPr>
              <w:pStyle w:val="Compact"/>
              <w:jc w:val="left"/>
            </w:pPr>
            <w:r>
              <w:t xml:space="preserve">0.15</w:t>
            </w:r>
          </w:p>
        </w:tc>
      </w:tr>
    </w:tbl>
    <w:p>
      <w:pPr>
        <w:pStyle w:val="BodyText"/>
      </w:pPr>
      <w:r>
        <w:rPr>
          <w:iCs/>
          <w:i/>
        </w:rPr>
        <w:t xml:space="preserve">Note: The "Illustrative Total Carbon" values in this table are calculated by multiplying the "Qty" by the "Illustrative Emission Factor" and serve as examples based on common industry averages.</w:t>
      </w:r>
    </w:p>
    <w:bookmarkEnd w:id="28"/>
    <w:bookmarkStart w:id="29" w:name="production-energy-scope-1-2"/>
    <w:p>
      <w:pPr>
        <w:pStyle w:val="Heading3"/>
      </w:pPr>
      <w:r>
        <w:t xml:space="preserve">2.2 Production Energy (Scope 1 &amp; 2)</w:t>
      </w:r>
    </w:p>
    <w:p>
      <w:pPr>
        <w:pStyle w:val="FirstParagraph"/>
      </w:pPr>
      <w:r>
        <w:t xml:space="preserve">Energy consumption data for the production phase at the final production country (China) is crucial. The following parameters were provided:</w:t>
      </w:r>
    </w:p>
    <w:p>
      <w:pPr>
        <w:numPr>
          <w:ilvl w:val="0"/>
          <w:numId w:val="1001"/>
        </w:numPr>
        <w:pStyle w:val="Compact"/>
      </w:pPr>
      <w:r>
        <w:rPr>
          <w:bCs/>
          <w:b/>
        </w:rPr>
        <w:t xml:space="preserve">Renewable Energy Usage:</w:t>
      </w:r>
      <w:r>
        <w:t xml:space="preserve"> </w:t>
      </w:r>
      <w:r>
        <w:t xml:space="preserve">iophiyulfz (Illustrative: 70%)</w:t>
      </w:r>
    </w:p>
    <w:p>
      <w:pPr>
        <w:numPr>
          <w:ilvl w:val="0"/>
          <w:numId w:val="1001"/>
        </w:numPr>
        <w:pStyle w:val="Compact"/>
      </w:pPr>
      <w:r>
        <w:rPr>
          <w:bCs/>
          <w:b/>
        </w:rPr>
        <w:t xml:space="preserve">Energy Intensity (kWh/unit):</w:t>
      </w:r>
      <w:r>
        <w:t xml:space="preserve"> </w:t>
      </w:r>
      <w:r>
        <w:t xml:space="preserve">xxdxyvxlhh (Illustrative: 50 kWh/unit)</w:t>
      </w:r>
    </w:p>
    <w:p>
      <w:pPr>
        <w:pStyle w:val="FirstParagraph"/>
      </w:pPr>
      <w:r>
        <w:t xml:space="preserve">This data informs the calculation of Scope 2 emissions (purchased electricity) by considering the proportion of renewable energy used. Scope 1 emissions at the factory gate would include direct combustion of fuels on-site, if applicable and not covered by purchased electricity, but for the factory_gate boundary, the primary focus is on purchased electricity.</w:t>
      </w:r>
    </w:p>
    <w:bookmarkEnd w:id="29"/>
    <w:bookmarkStart w:id="30" w:name="X981923b8cb60f0edee598a5efe02199461582eb"/>
    <w:p>
      <w:pPr>
        <w:pStyle w:val="Heading3"/>
      </w:pPr>
      <w:r>
        <w:t xml:space="preserve">2.3 Transportation (Scope 3 - Upstream &amp; Downstream)</w:t>
      </w:r>
    </w:p>
    <w:p>
      <w:pPr>
        <w:pStyle w:val="FirstParagraph"/>
      </w:pPr>
      <w:r>
        <w:t xml:space="preserve">Logistics data significantly impacts the supply chain footprint:</w:t>
      </w:r>
    </w:p>
    <w:p>
      <w:pPr>
        <w:numPr>
          <w:ilvl w:val="0"/>
          <w:numId w:val="1002"/>
        </w:numPr>
        <w:pStyle w:val="Compact"/>
      </w:pPr>
      <w:r>
        <w:rPr>
          <w:bCs/>
          <w:b/>
        </w:rPr>
        <w:t xml:space="preserve">Upstream Transport Mode:</w:t>
      </w:r>
      <w:r>
        <w:t xml:space="preserve"> </w:t>
      </w:r>
      <w:r>
        <w:t xml:space="preserve">Select Mode (Illustrative: Road Freight - Heavy Goods Vehicle (HGV))</w:t>
      </w:r>
    </w:p>
    <w:p>
      <w:pPr>
        <w:numPr>
          <w:ilvl w:val="0"/>
          <w:numId w:val="1002"/>
        </w:numPr>
        <w:pStyle w:val="Compact"/>
      </w:pPr>
      <w:r>
        <w:rPr>
          <w:bCs/>
          <w:b/>
        </w:rPr>
        <w:t xml:space="preserve">Upstream Transport Distance:</w:t>
      </w:r>
      <w:r>
        <w:t xml:space="preserve"> </w:t>
      </w:r>
      <w:r>
        <w:t xml:space="preserve">zhqullpnzf (Illustrative: 1500 km, reflecting European supply chain focus to China)</w:t>
      </w:r>
    </w:p>
    <w:p>
      <w:pPr>
        <w:numPr>
          <w:ilvl w:val="0"/>
          <w:numId w:val="1002"/>
        </w:numPr>
        <w:pStyle w:val="Compact"/>
      </w:pPr>
      <w:r>
        <w:rPr>
          <w:bCs/>
          <w:b/>
        </w:rPr>
        <w:t xml:space="preserve">Last-Mile Delivery Channel:</w:t>
      </w:r>
      <w:r>
        <w:t xml:space="preserve"> </w:t>
      </w:r>
      <w:r>
        <w:t xml:space="preserve">Delivery Type (Illustrative: Light Commercial Van)</w:t>
      </w:r>
    </w:p>
    <w:p>
      <w:pPr>
        <w:pStyle w:val="FirstParagraph"/>
      </w:pPr>
      <w:r>
        <w:t xml:space="preserve">Emission factors for these transport modes will be sourced from recognized databases (e.g., Ecoinvent, DEFRA) to reflect the operational characteristics of the chosen modes.</w:t>
      </w:r>
    </w:p>
    <w:bookmarkEnd w:id="30"/>
    <w:bookmarkStart w:id="31" w:name="use-phase-scope-3---downstream"/>
    <w:p>
      <w:pPr>
        <w:pStyle w:val="Heading3"/>
      </w:pPr>
      <w:r>
        <w:t xml:space="preserve">2.4 Use Phase (Scope 3 - Downstream)</w:t>
      </w:r>
    </w:p>
    <w:p>
      <w:pPr>
        <w:pStyle w:val="FirstParagraph"/>
      </w:pPr>
      <w:r>
        <w:t xml:space="preserve">The energy consumption during the product\'s operational life is accounted for:</w:t>
      </w:r>
    </w:p>
    <w:p>
      <w:pPr>
        <w:numPr>
          <w:ilvl w:val="0"/>
          <w:numId w:val="1003"/>
        </w:numPr>
        <w:pStyle w:val="Compact"/>
      </w:pPr>
      <w:r>
        <w:rPr>
          <w:bCs/>
          <w:b/>
        </w:rPr>
        <w:t xml:space="preserve">Product Lifespan:</w:t>
      </w:r>
      <w:r>
        <w:t xml:space="preserve"> </w:t>
      </w:r>
      <w:r>
        <w:t xml:space="preserve">ikhfhwvefv (Illustrative: 5 years)</w:t>
      </w:r>
    </w:p>
    <w:p>
      <w:pPr>
        <w:numPr>
          <w:ilvl w:val="0"/>
          <w:numId w:val="1003"/>
        </w:numPr>
        <w:pStyle w:val="Compact"/>
      </w:pPr>
      <w:r>
        <w:rPr>
          <w:bCs/>
          <w:b/>
        </w:rPr>
        <w:t xml:space="preserve">Energy Consumption in Use:</w:t>
      </w:r>
      <w:r>
        <w:t xml:space="preserve"> </w:t>
      </w:r>
      <w:r>
        <w:t xml:space="preserve">oxqzymdldx (Illustrative: 10 kWh/year)</w:t>
      </w:r>
    </w:p>
    <w:p>
      <w:pPr>
        <w:pStyle w:val="FirstParagraph"/>
      </w:pPr>
      <w:r>
        <w:t xml:space="preserve">Emissions from the use phase are calculated based on the total energy consumed over the product\'s lifespan and the appropriate electricity grid emission factor for the assumed user geography (e.g., average European grid mix).</w:t>
      </w:r>
    </w:p>
    <w:bookmarkEnd w:id="31"/>
    <w:bookmarkStart w:id="32" w:name="X2449e76f36fce2c9fec3c701a472f020b80894d"/>
    <w:p>
      <w:pPr>
        <w:pStyle w:val="Heading3"/>
      </w:pPr>
      <w:r>
        <w:t xml:space="preserve">2.5 End-of-Life (EoL) Scenarios (Scope 3 - Downstream)</w:t>
      </w:r>
    </w:p>
    <w:p>
      <w:pPr>
        <w:pStyle w:val="FirstParagraph"/>
      </w:pPr>
      <w:r>
        <w:t xml:space="preserve">The end-of-life treatment of xjsixktsox is considered to reflect circular economy impacts:</w:t>
      </w:r>
    </w:p>
    <w:p>
      <w:pPr>
        <w:numPr>
          <w:ilvl w:val="0"/>
          <w:numId w:val="1004"/>
        </w:numPr>
        <w:pStyle w:val="Compact"/>
      </w:pPr>
      <w:r>
        <w:rPr>
          <w:bCs/>
          <w:b/>
        </w:rPr>
        <w:t xml:space="preserve">Recyclability Percentage:</w:t>
      </w:r>
      <w:r>
        <w:t xml:space="preserve"> </w:t>
      </w:r>
      <w:r>
        <w:t xml:space="preserve">osmjuurwod (Illustrative: 80%)</w:t>
      </w:r>
    </w:p>
    <w:p>
      <w:pPr>
        <w:numPr>
          <w:ilvl w:val="0"/>
          <w:numId w:val="1004"/>
        </w:numPr>
        <w:pStyle w:val="Compact"/>
      </w:pPr>
      <w:r>
        <w:rPr>
          <w:bCs/>
          <w:b/>
        </w:rPr>
        <w:t xml:space="preserve">Circular/Take-back Programs:</w:t>
      </w:r>
      <w:r>
        <w:t xml:space="preserve"> </w:t>
      </w:r>
      <w:r>
        <w:t xml:space="preserve">sktrdomowy (Illustrative: Yes, established take-back program)</w:t>
      </w:r>
    </w:p>
    <w:p>
      <w:pPr>
        <w:pStyle w:val="FirstParagraph"/>
      </w:pPr>
      <w:r>
        <w:t xml:space="preserve">These parameters are used to estimate emissions from waste treatment (e.g., landfill, incineration) and potential avoided emissions through recycling or reuse, aligning with the GHG Protocol\'s guidance for end-of-life emissions.</w:t>
      </w:r>
    </w:p>
    <w:p>
      <w:r>
        <w:pict>
          <v:rect style="width:0;height:1.5pt" o:hralign="center" o:hrstd="t" o:hr="t"/>
        </w:pict>
      </w:r>
    </w:p>
    <w:bookmarkEnd w:id="32"/>
    <w:bookmarkEnd w:id="33"/>
    <w:bookmarkStart w:id="47" w:name="X439a6e6dcb43c636bf515ffaf3f59bce0bd6490"/>
    <w:p>
      <w:pPr>
        <w:pStyle w:val="Heading2"/>
      </w:pPr>
      <w:r>
        <w:t xml:space="preserve">4. Emission Calculation (Activity * Emission Factor = CO2e)</w:t>
      </w:r>
    </w:p>
    <w:p>
      <w:pPr>
        <w:pStyle w:val="FirstParagraph"/>
      </w:pPr>
      <w:r>
        <w:t xml:space="preserve">This section outlines the calculation of GHG emissions for xjsixktsox, categorized according to the GHG Protocol\'s Scope 1, 2, and 3 framework. For illustrative purposes, assumed industry-standard emission factors are used, as specific factors were not provided beyond the BOM structure. Calculations are based on the illustrative data points defined in the previous section.</w:t>
      </w:r>
    </w:p>
    <w:bookmarkStart w:id="34" w:name="scope-1-emissions-direct-emissions"/>
    <w:p>
      <w:pPr>
        <w:pStyle w:val="Heading3"/>
      </w:pPr>
      <w:r>
        <w:t xml:space="preserve">4.1 Scope 1 Emissions (Direct Emissions)</w:t>
      </w:r>
    </w:p>
    <w:p>
      <w:pPr>
        <w:pStyle w:val="FirstParagraph"/>
      </w:pPr>
      <w:r>
        <w:t xml:space="preserve">Scope 1 emissions pertain to direct GHG emissions from sources owned or controlled by qlvmdffuse within the factory_gate boundary. For a typical product manufacturing process within a factory_gate boundary, these might include emissions from:</w:t>
      </w:r>
    </w:p>
    <w:p>
      <w:pPr>
        <w:numPr>
          <w:ilvl w:val="0"/>
          <w:numId w:val="1005"/>
        </w:numPr>
        <w:pStyle w:val="Compact"/>
      </w:pPr>
      <w:r>
        <w:t xml:space="preserve">On-site combustion of fuels (e.g., natural gas for heating or machinery).</w:t>
      </w:r>
    </w:p>
    <w:p>
      <w:pPr>
        <w:numPr>
          <w:ilvl w:val="0"/>
          <w:numId w:val="1005"/>
        </w:numPr>
        <w:pStyle w:val="Compact"/>
      </w:pPr>
      <w:r>
        <w:t xml:space="preserve">Process emissions (e.g., chemical reactions during production).</w:t>
      </w:r>
    </w:p>
    <w:p>
      <w:pPr>
        <w:numPr>
          <w:ilvl w:val="0"/>
          <w:numId w:val="1005"/>
        </w:numPr>
        <w:pStyle w:val="Compact"/>
      </w:pPr>
      <w:r>
        <w:t xml:space="preserve">Fugitive emissions (e.g., refrigerants from cooling systems).</w:t>
      </w:r>
    </w:p>
    <w:p>
      <w:pPr>
        <w:pStyle w:val="FirstParagraph"/>
      </w:pPr>
      <w:r>
        <w:t xml:space="preserve">Given the focus on \'factory_gate\' and the absence of specific on-site fuel consumption data, for this illustrative report, we assume minimal direct Scope 1 emissions for the product\'s immediate production process, primarily focusing on purchased energy for manufacturing. If significant on-site fuel use existed, it would be quantified here.</w:t>
      </w:r>
    </w:p>
    <w:p>
      <w:pPr>
        <w:pStyle w:val="BodyText"/>
      </w:pPr>
      <w:r>
        <w:rPr>
          <w:bCs/>
          <w:b/>
        </w:rPr>
        <w:t xml:space="preserve">Illustrative Scope 1 Emissions: ~0.0 kg CO2e/unit (assuming primarily electricity-driven processes)</w:t>
      </w:r>
    </w:p>
    <w:bookmarkEnd w:id="34"/>
    <w:bookmarkStart w:id="35" w:name="scope-2-emissions-purchased-energy"/>
    <w:p>
      <w:pPr>
        <w:pStyle w:val="Heading3"/>
      </w:pPr>
      <w:r>
        <w:t xml:space="preserve">4.2 Scope 2 Emissions (Purchased Energy)</w:t>
      </w:r>
    </w:p>
    <w:p>
      <w:pPr>
        <w:pStyle w:val="FirstParagraph"/>
      </w:pPr>
      <w:r>
        <w:t xml:space="preserve">Scope 2 emissions arise from the generation of purchased electricity, steam, heat, or cooling consumed by qlvmdffuse\'s facilities within the factory_gate boundary.</w:t>
      </w:r>
    </w:p>
    <w:p>
      <w:pPr>
        <w:numPr>
          <w:ilvl w:val="0"/>
          <w:numId w:val="1006"/>
        </w:numPr>
        <w:pStyle w:val="Compact"/>
      </w:pPr>
      <w:r>
        <w:t xml:space="preserve">Energy Intensity (kWh/unit): 50 kWh/unit [illustrative value from xxdxyvxlhh]</w:t>
      </w:r>
    </w:p>
    <w:p>
      <w:pPr>
        <w:numPr>
          <w:ilvl w:val="0"/>
          <w:numId w:val="1006"/>
        </w:numPr>
        <w:pStyle w:val="Compact"/>
      </w:pPr>
      <w:r>
        <w:t xml:space="preserve">Renewable Energy Usage: 70% [illustrative value from iophiyulfz]</w:t>
      </w:r>
    </w:p>
    <w:p>
      <w:pPr>
        <w:numPr>
          <w:ilvl w:val="0"/>
          <w:numId w:val="1006"/>
        </w:numPr>
        <w:pStyle w:val="Compact"/>
      </w:pPr>
      <w:r>
        <w:t xml:space="preserve">Assumed China Grid Emission Factor (non-renewable): 0.6 kg CO2e/kWh (typical average for China, 2023)</w:t>
      </w:r>
    </w:p>
    <w:p>
      <w:pPr>
        <w:pStyle w:val="FirstParagraph"/>
      </w:pPr>
      <w:r>
        <w:t xml:space="preserve">Calculation:</w:t>
      </w:r>
    </w:p>
    <w:p>
      <w:pPr>
        <w:pStyle w:val="BodyText"/>
      </w:pPr>
      <w:r>
        <w:t xml:space="preserve">Non-renewable electricity used = Energy Intensity * (1 - Renewable Energy Usage)</w:t>
      </w:r>
    </w:p>
    <w:p>
      <w:pPr>
        <w:pStyle w:val="BodyText"/>
      </w:pPr>
      <w:r>
        <w:t xml:space="preserve">= 50 kWh/unit * (1 - 0.70) = 50 kWh/unit * 0.30 = 15 kWh/unit</w:t>
      </w:r>
    </w:p>
    <w:p>
      <w:pPr>
        <w:pStyle w:val="BodyText"/>
      </w:pPr>
      <w:r>
        <w:t xml:space="preserve">Scope 2 Emissions = Non-renewable electricity used * China Grid Emission Factor</w:t>
      </w:r>
    </w:p>
    <w:p>
      <w:pPr>
        <w:pStyle w:val="BodyText"/>
      </w:pPr>
      <w:r>
        <w:t xml:space="preserve">= 15 kWh/unit * 0.6 kg CO2e/kWh = 9.0 kg CO2e/unit</w:t>
      </w:r>
    </w:p>
    <w:p>
      <w:pPr>
        <w:pStyle w:val="BodyText"/>
      </w:pPr>
      <w:r>
        <w:rPr>
          <w:bCs/>
          <w:b/>
        </w:rPr>
        <w:t xml:space="preserve">Illustrative Scope 2 Emissions: 9.0 kg CO2e/unit</w:t>
      </w:r>
    </w:p>
    <w:bookmarkEnd w:id="35"/>
    <w:bookmarkStart w:id="43" w:name="scope-3-emissions-value-chain-emissions"/>
    <w:p>
      <w:pPr>
        <w:pStyle w:val="Heading3"/>
      </w:pPr>
      <w:r>
        <w:t xml:space="preserve">4.3 Scope 3 Emissions (Value Chain Emissions)</w:t>
      </w:r>
    </w:p>
    <w:p>
      <w:pPr>
        <w:pStyle w:val="FirstParagraph"/>
      </w:pPr>
      <w:r>
        <w:t xml:space="preserve">Scope 3 emissions are all indirect emissions (not included in Scope 2) that occur in the value chain of qlvmdffuse, both upstream and downstream. The goal is to achieve at least 95% coverage as per 2026 requirements.</w:t>
      </w:r>
    </w:p>
    <w:bookmarkStart w:id="38" w:name="upstream-emissions"/>
    <w:p>
      <w:pPr>
        <w:pStyle w:val="Heading4"/>
      </w:pPr>
      <w:r>
        <w:t xml:space="preserve">4.3.1 Upstream Emissions</w:t>
      </w:r>
    </w:p>
    <w:bookmarkStart w:id="36" w:name="purchased-goods-and-services-materials"/>
    <w:p>
      <w:pPr>
        <w:pStyle w:val="Heading5"/>
      </w:pPr>
      <w:r>
        <w:t xml:space="preserve">4.3.1.1 Purchased Goods and Services (Materials)</w:t>
      </w:r>
    </w:p>
    <w:p>
      <w:pPr>
        <w:pStyle w:val="FirstParagraph"/>
      </w:pPr>
      <w:r>
        <w:t xml:space="preserve">Emissions from the extraction, production, and transportation of raw materials and components used in xjsixktsox.</w:t>
      </w:r>
    </w:p>
    <w:p>
      <w:pPr>
        <w:pStyle w:val="BodyText"/>
      </w:pPr>
      <w:r>
        <w:t xml:space="preserve">Based on the illustrative BOM (refer to Section 2.1), the total carbon from materials is:</w:t>
      </w:r>
    </w:p>
    <w:p>
      <w:pPr>
        <w:numPr>
          <w:ilvl w:val="0"/>
          <w:numId w:val="1007"/>
        </w:numPr>
        <w:pStyle w:val="Compact"/>
      </w:pPr>
      <w:r>
        <w:t xml:space="preserve">Aluminum Casing: 5.0 kg CO2e</w:t>
      </w:r>
    </w:p>
    <w:p>
      <w:pPr>
        <w:numPr>
          <w:ilvl w:val="0"/>
          <w:numId w:val="1007"/>
        </w:numPr>
        <w:pStyle w:val="Compact"/>
      </w:pPr>
      <w:r>
        <w:t xml:space="preserve">ABS Plastic Components: 0.6 kg CO2e</w:t>
      </w:r>
    </w:p>
    <w:p>
      <w:pPr>
        <w:numPr>
          <w:ilvl w:val="0"/>
          <w:numId w:val="1007"/>
        </w:numPr>
        <w:pStyle w:val="Compact"/>
      </w:pPr>
      <w:r>
        <w:t xml:space="preserve">Electronic Board: 2.0 kg CO2e</w:t>
      </w:r>
    </w:p>
    <w:p>
      <w:pPr>
        <w:numPr>
          <w:ilvl w:val="0"/>
          <w:numId w:val="1007"/>
        </w:numPr>
        <w:pStyle w:val="Compact"/>
      </w:pPr>
      <w:r>
        <w:t xml:space="preserve">Cardboard Packaging: 0.15 kg CO2e</w:t>
      </w:r>
    </w:p>
    <w:p>
      <w:pPr>
        <w:pStyle w:val="FirstParagraph"/>
      </w:pPr>
      <w:r>
        <w:t xml:space="preserve">Total Illustrative Material Emissions = 5.0 + 0.6 + 2.0 + 0.15 = 7.75 kg CO2e/unit</w:t>
      </w:r>
    </w:p>
    <w:p>
      <w:pPr>
        <w:pStyle w:val="BodyText"/>
      </w:pPr>
      <w:r>
        <w:rPr>
          <w:bCs/>
          <w:b/>
        </w:rPr>
        <w:t xml:space="preserve">Illustrative Material Emissions: 7.75 kg CO2e/unit</w:t>
      </w:r>
    </w:p>
    <w:bookmarkEnd w:id="36"/>
    <w:bookmarkStart w:id="37" w:name="upstream-transportation-and-distribution"/>
    <w:p>
      <w:pPr>
        <w:pStyle w:val="Heading5"/>
      </w:pPr>
      <w:r>
        <w:t xml:space="preserve">4.3.1.2 Upstream Transportation and Distribution</w:t>
      </w:r>
    </w:p>
    <w:p>
      <w:pPr>
        <w:pStyle w:val="FirstParagraph"/>
      </w:pPr>
      <w:r>
        <w:t xml:space="preserve">Emissions associated with transporting raw materials and components from suppliers (Europe Focused) to the final production factory in China.</w:t>
      </w:r>
    </w:p>
    <w:p>
      <w:pPr>
        <w:numPr>
          <w:ilvl w:val="0"/>
          <w:numId w:val="1008"/>
        </w:numPr>
        <w:pStyle w:val="Compact"/>
      </w:pPr>
      <w:r>
        <w:t xml:space="preserve">Transport Mode: Road Freight (HGV) [illustrative value from Select Mode]</w:t>
      </w:r>
    </w:p>
    <w:p>
      <w:pPr>
        <w:numPr>
          <w:ilvl w:val="0"/>
          <w:numId w:val="1008"/>
        </w:numPr>
        <w:pStyle w:val="Compact"/>
      </w:pPr>
      <w:r>
        <w:t xml:space="preserve">Transport Distance: 1500 km [illustrative value from zhqullpnzf]</w:t>
      </w:r>
    </w:p>
    <w:p>
      <w:pPr>
        <w:numPr>
          <w:ilvl w:val="0"/>
          <w:numId w:val="1008"/>
        </w:numPr>
        <w:pStyle w:val="Compact"/>
      </w:pPr>
      <w:r>
        <w:t xml:space="preserve">Assumed Payload: For simplicity, assume 1 unit of finished product weighs 1 kg (total BOM weight is 0.5+0.2+0.1+0.1 = 0.9 kg). We\'ll assume raw materials transport for ~1 kg product equivalent.</w:t>
      </w:r>
    </w:p>
    <w:p>
      <w:pPr>
        <w:numPr>
          <w:ilvl w:val="0"/>
          <w:numId w:val="1008"/>
        </w:numPr>
        <w:pStyle w:val="Compact"/>
      </w:pPr>
      <w:r>
        <w:t xml:space="preserve">Illustrative Road Freight Emission Factor (HGV, &gt;16t): 0.09 kg CO2e/tkm (from Ecoinvent/DEFRA typical values)</w:t>
      </w:r>
    </w:p>
    <w:p>
      <w:pPr>
        <w:pStyle w:val="FirstParagraph"/>
      </w:pPr>
      <w:r>
        <w:t xml:space="preserve">Calculation:</w:t>
      </w:r>
    </w:p>
    <w:p>
      <w:pPr>
        <w:pStyle w:val="BodyText"/>
      </w:pPr>
      <w:r>
        <w:t xml:space="preserve">Upstream Transport Emissions = (Product Equivalent Weight / 1000 kg/tonne) * Distance * Emission Factor</w:t>
      </w:r>
    </w:p>
    <w:p>
      <w:pPr>
        <w:pStyle w:val="BodyText"/>
      </w:pPr>
      <w:r>
        <w:t xml:space="preserve">= (1 kg / 1000) * 1500 km * 0.09 kg CO2e/tkm = 0.001 tonne * 1500 km * 0.09 kg CO2e/tkm = 0.135 kg CO2e/unit</w:t>
      </w:r>
    </w:p>
    <w:p>
      <w:pPr>
        <w:pStyle w:val="BodyText"/>
      </w:pPr>
      <w:r>
        <w:rPr>
          <w:bCs/>
          <w:b/>
        </w:rPr>
        <w:t xml:space="preserve">Illustrative Upstream Transport Emissions: 0.135 kg CO2e/unit</w:t>
      </w:r>
    </w:p>
    <w:bookmarkEnd w:id="37"/>
    <w:bookmarkEnd w:id="38"/>
    <w:bookmarkStart w:id="42" w:name="downstream-emissions"/>
    <w:p>
      <w:pPr>
        <w:pStyle w:val="Heading4"/>
      </w:pPr>
      <w:r>
        <w:t xml:space="preserve">4.3.2 Downstream Emissions</w:t>
      </w:r>
    </w:p>
    <w:bookmarkStart w:id="39" w:name="X176db3857c48a432dc85d833f2c3abda3f5678d"/>
    <w:p>
      <w:pPr>
        <w:pStyle w:val="Heading5"/>
      </w:pPr>
      <w:r>
        <w:t xml:space="preserve">4.3.2.1 Downstream Transportation and Distribution (Last-Mile)</w:t>
      </w:r>
    </w:p>
    <w:p>
      <w:pPr>
        <w:pStyle w:val="FirstParagraph"/>
      </w:pPr>
      <w:r>
        <w:t xml:space="preserve">Emissions from the transport of the finished product from the factory gate to the end-user (last-mile delivery).</w:t>
      </w:r>
    </w:p>
    <w:p>
      <w:pPr>
        <w:numPr>
          <w:ilvl w:val="0"/>
          <w:numId w:val="1009"/>
        </w:numPr>
        <w:pStyle w:val="Compact"/>
      </w:pPr>
      <w:r>
        <w:t xml:space="preserve">Delivery Channel: Light Commercial Van [illustrative value from Delivery Type]</w:t>
      </w:r>
    </w:p>
    <w:p>
      <w:pPr>
        <w:numPr>
          <w:ilvl w:val="0"/>
          <w:numId w:val="1009"/>
        </w:numPr>
        <w:pStyle w:val="Compact"/>
      </w:pPr>
      <w:r>
        <w:t xml:space="preserve">Assumed Last-Mile Delivery Distance: 50 km (typical last-mile distance)</w:t>
      </w:r>
    </w:p>
    <w:p>
      <w:pPr>
        <w:numPr>
          <w:ilvl w:val="0"/>
          <w:numId w:val="1009"/>
        </w:numPr>
        <w:pStyle w:val="Compact"/>
      </w:pPr>
      <w:r>
        <w:t xml:space="preserve">Illustrative Light Commercial Van Emission Factor: 0.2 kg CO2e/km (from Ecoinvent/DEFRA typical values)</w:t>
      </w:r>
    </w:p>
    <w:p>
      <w:pPr>
        <w:pStyle w:val="FirstParagraph"/>
      </w:pPr>
      <w:r>
        <w:t xml:space="preserve">Calculation:</w:t>
      </w:r>
    </w:p>
    <w:p>
      <w:pPr>
        <w:pStyle w:val="BodyText"/>
      </w:pPr>
      <w:r>
        <w:t xml:space="preserve">Last-Mile Emissions = Last-Mile Delivery Distance * Emission Factor</w:t>
      </w:r>
    </w:p>
    <w:p>
      <w:pPr>
        <w:pStyle w:val="BodyText"/>
      </w:pPr>
      <w:r>
        <w:t xml:space="preserve">= 50 km * 0.2 kg CO2e/km = 10.0 kg CO2e/unit</w:t>
      </w:r>
    </w:p>
    <w:p>
      <w:pPr>
        <w:pStyle w:val="BodyText"/>
      </w:pPr>
      <w:r>
        <w:rPr>
          <w:bCs/>
          <w:b/>
        </w:rPr>
        <w:t xml:space="preserve">Illustrative Last-Mile Delivery Emissions: 10.0 kg CO2e/unit</w:t>
      </w:r>
    </w:p>
    <w:bookmarkEnd w:id="39"/>
    <w:bookmarkStart w:id="40" w:name="use-of-sold-products"/>
    <w:p>
      <w:pPr>
        <w:pStyle w:val="Heading5"/>
      </w:pPr>
      <w:r>
        <w:t xml:space="preserve">4.3.2.2 Use of Sold Products</w:t>
      </w:r>
    </w:p>
    <w:p>
      <w:pPr>
        <w:pStyle w:val="FirstParagraph"/>
      </w:pPr>
      <w:r>
        <w:t xml:space="preserve">Emissions from the energy consumption during the product\'s lifetime by the end-user.</w:t>
      </w:r>
    </w:p>
    <w:p>
      <w:pPr>
        <w:numPr>
          <w:ilvl w:val="0"/>
          <w:numId w:val="1010"/>
        </w:numPr>
        <w:pStyle w:val="Compact"/>
      </w:pPr>
      <w:r>
        <w:t xml:space="preserve">Product Lifespan: 5 years [illustrative value from ikhfhwvefv]</w:t>
      </w:r>
    </w:p>
    <w:p>
      <w:pPr>
        <w:numPr>
          <w:ilvl w:val="0"/>
          <w:numId w:val="1010"/>
        </w:numPr>
        <w:pStyle w:val="Compact"/>
      </w:pPr>
      <w:r>
        <w:t xml:space="preserve">Energy Consumption in Use: 10 kWh/year [illustrative value from oxqzymdldx]</w:t>
      </w:r>
    </w:p>
    <w:p>
      <w:pPr>
        <w:numPr>
          <w:ilvl w:val="0"/>
          <w:numId w:val="1010"/>
        </w:numPr>
        <w:pStyle w:val="Compact"/>
      </w:pPr>
      <w:r>
        <w:t xml:space="preserve">Assumed Average European Grid Emission Factor: 0.25 kg CO2e/kWh (typical average for Europe)</w:t>
      </w:r>
    </w:p>
    <w:p>
      <w:pPr>
        <w:pStyle w:val="FirstParagraph"/>
      </w:pPr>
      <w:r>
        <w:t xml:space="preserve">Calculation:</w:t>
      </w:r>
    </w:p>
    <w:p>
      <w:pPr>
        <w:pStyle w:val="BodyText"/>
      </w:pPr>
      <w:r>
        <w:t xml:space="preserve">Total Energy Consumption in Use = Product Lifespan * Energy Consumption in Use</w:t>
      </w:r>
    </w:p>
    <w:p>
      <w:pPr>
        <w:pStyle w:val="BodyText"/>
      </w:pPr>
      <w:r>
        <w:t xml:space="preserve">= 5 years * 10 kWh/year = 50 kWh/unit</w:t>
      </w:r>
    </w:p>
    <w:p>
      <w:pPr>
        <w:pStyle w:val="BodyText"/>
      </w:pPr>
      <w:r>
        <w:t xml:space="preserve">Use Phase Emissions = Total Energy Consumption in Use * European Grid Emission Factor</w:t>
      </w:r>
    </w:p>
    <w:p>
      <w:pPr>
        <w:pStyle w:val="BodyText"/>
      </w:pPr>
      <w:r>
        <w:t xml:space="preserve">= 50 kWh/unit * 0.25 kg CO2e/kWh = 12.5 kg CO2e/unit</w:t>
      </w:r>
    </w:p>
    <w:p>
      <w:pPr>
        <w:pStyle w:val="BodyText"/>
      </w:pPr>
      <w:r>
        <w:rPr>
          <w:bCs/>
          <w:b/>
        </w:rPr>
        <w:t xml:space="preserve">Illustrative Use Phase Emissions: 12.5 kg CO2e/unit</w:t>
      </w:r>
    </w:p>
    <w:bookmarkEnd w:id="40"/>
    <w:bookmarkStart w:id="41" w:name="end-of-life-treatment-of-sold-products"/>
    <w:p>
      <w:pPr>
        <w:pStyle w:val="Heading5"/>
      </w:pPr>
      <w:r>
        <w:t xml:space="preserve">4.3.2.3 End-of-Life Treatment of Sold Products</w:t>
      </w:r>
    </w:p>
    <w:p>
      <w:pPr>
        <w:pStyle w:val="FirstParagraph"/>
      </w:pPr>
      <w:r>
        <w:t xml:space="preserve">Emissions and potential avoided emissions from the disposal or recycling of the product at the end of its life.</w:t>
      </w:r>
    </w:p>
    <w:p>
      <w:pPr>
        <w:numPr>
          <w:ilvl w:val="0"/>
          <w:numId w:val="1011"/>
        </w:numPr>
        <w:pStyle w:val="Compact"/>
      </w:pPr>
      <w:r>
        <w:t xml:space="preserve">Recyclability Percentage: 80% [illustrative value from osmjuurwod]</w:t>
      </w:r>
    </w:p>
    <w:p>
      <w:pPr>
        <w:numPr>
          <w:ilvl w:val="0"/>
          <w:numId w:val="1011"/>
        </w:numPr>
        <w:pStyle w:val="Compact"/>
      </w:pPr>
      <w:r>
        <w:t xml:space="preserve">Circular/Take-back Programs: Yes, established take-back program [illustrative value from sktrdomowy]</w:t>
      </w:r>
    </w:p>
    <w:p>
      <w:pPr>
        <w:numPr>
          <w:ilvl w:val="0"/>
          <w:numId w:val="1011"/>
        </w:numPr>
        <w:pStyle w:val="Compact"/>
      </w:pPr>
      <w:r>
        <w:t xml:space="preserve">Assumed Emission Factor for Disposal (e.g., landfill for 20%): 1.0 kg CO2e/kg (for non-recycled portion)</w:t>
      </w:r>
    </w:p>
    <w:p>
      <w:pPr>
        <w:numPr>
          <w:ilvl w:val="0"/>
          <w:numId w:val="1011"/>
        </w:numPr>
        <w:pStyle w:val="Compact"/>
      </w:pPr>
      <w:r>
        <w:t xml:space="preserve">Assumed Avoided Emission Factor for Recycling (for 80%): -1.5 kg CO2e/kg (credit for recycled materials)</w:t>
      </w:r>
    </w:p>
    <w:p>
      <w:pPr>
        <w:numPr>
          <w:ilvl w:val="0"/>
          <w:numId w:val="1011"/>
        </w:numPr>
        <w:pStyle w:val="Compact"/>
      </w:pPr>
      <w:r>
        <w:t xml:space="preserve">Assumed Product Weight at EoL: 0.9 kg (from BOM components)</w:t>
      </w:r>
    </w:p>
    <w:p>
      <w:pPr>
        <w:pStyle w:val="FirstParagraph"/>
      </w:pPr>
      <w:r>
        <w:t xml:space="preserve">Calculation:</w:t>
      </w:r>
    </w:p>
    <w:p>
      <w:pPr>
        <w:pStyle w:val="BodyText"/>
      </w:pPr>
      <w:r>
        <w:t xml:space="preserve">Emissions from Disposal = (1 - Recyclability Percentage) * Product Weight * Disposal Emission Factor</w:t>
      </w:r>
    </w:p>
    <w:p>
      <w:pPr>
        <w:pStyle w:val="BodyText"/>
      </w:pPr>
      <w:r>
        <w:t xml:space="preserve">= (1 - 0.80) * 0.9 kg * 1.0 kg CO2e/kg = 0.2 * 0.9 kg * 1.0 kg CO2e/kg = 0.18 kg CO2e/unit</w:t>
      </w:r>
    </w:p>
    <w:p>
      <w:pPr>
        <w:pStyle w:val="BodyText"/>
      </w:pPr>
      <w:r>
        <w:t xml:space="preserve">Avoided Emissions from Recycling = Recyclability Percentage * Product Weight * Avoided Emission Factor</w:t>
      </w:r>
    </w:p>
    <w:p>
      <w:pPr>
        <w:pStyle w:val="BodyText"/>
      </w:pPr>
      <w:r>
        <w:t xml:space="preserve">= 0.80 * 0.9 kg * -1.5 kg CO2e/kg = -1.08 kg CO2e/unit</w:t>
      </w:r>
    </w:p>
    <w:p>
      <w:pPr>
        <w:pStyle w:val="BodyText"/>
      </w:pPr>
      <w:r>
        <w:t xml:space="preserve">Total EoL Emissions = Emissions from Disposal + Avoided Emissions from Recycling</w:t>
      </w:r>
    </w:p>
    <w:p>
      <w:pPr>
        <w:pStyle w:val="BodyText"/>
      </w:pPr>
      <w:r>
        <w:t xml:space="preserve">= 0.18 kg CO2e/unit - 1.08 kg CO2e/unit = -0.9 kg CO2e/unit</w:t>
      </w:r>
    </w:p>
    <w:p>
      <w:pPr>
        <w:pStyle w:val="BodyText"/>
      </w:pPr>
      <w:r>
        <w:rPr>
          <w:bCs/>
          <w:b/>
        </w:rPr>
        <w:t xml:space="preserve">Illustrative End-of-Life Emissions: -0.9 kg CO2e/unit (Net Carbon Sequestration/Avoidance)</w:t>
      </w:r>
    </w:p>
    <w:bookmarkEnd w:id="41"/>
    <w:bookmarkEnd w:id="42"/>
    <w:bookmarkEnd w:id="43"/>
    <w:bookmarkStart w:id="44" w:name="X9b435f9006cf04294f943c0bc3e88ac8be6bd1a"/>
    <w:p>
      <w:pPr>
        <w:pStyle w:val="Heading3"/>
      </w:pPr>
      <w:r>
        <w:t xml:space="preserve">4.4 Total Product Carbon Footprint (Illustrative)</w:t>
      </w:r>
    </w:p>
    <w:p>
      <w:pPr>
        <w:pStyle w:val="FirstParagraph"/>
      </w:pPr>
      <w:r>
        <w:t xml:space="preserve">Summarizing the illustrative emissions across all scopes:</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Illustrative Emissions (kg CO2e/unit)</w:t>
            </w:r>
          </w:p>
        </w:tc>
      </w:tr>
      <w:tr>
        <w:tc>
          <w:tcPr/>
          <w:p>
            <w:pPr>
              <w:pStyle w:val="Compact"/>
              <w:jc w:val="left"/>
            </w:pPr>
            <w:r>
              <w:t xml:space="preserve">Scope 1</w:t>
            </w:r>
          </w:p>
        </w:tc>
        <w:tc>
          <w:tcPr/>
          <w:p>
            <w:pPr>
              <w:pStyle w:val="Compact"/>
              <w:jc w:val="left"/>
            </w:pPr>
            <w:r>
              <w:t xml:space="preserve">Direct Emissions (Factory_Gate)</w:t>
            </w:r>
          </w:p>
        </w:tc>
        <w:tc>
          <w:tcPr/>
          <w:p>
            <w:pPr>
              <w:pStyle w:val="Compact"/>
              <w:jc w:val="left"/>
            </w:pPr>
            <w:r>
              <w:t xml:space="preserve">0.0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9.0</w:t>
            </w:r>
          </w:p>
        </w:tc>
      </w:tr>
      <w:tr>
        <w:tc>
          <w:tcPr>
            <w:vMerge w:val="restart"/>
          </w:tcPr>
          <w:p>
            <w:pPr>
              <w:pStyle w:val="Compact"/>
              <w:jc w:val="left"/>
            </w:pPr>
            <w:r>
              <w:t xml:space="preserve">Scope 3</w:t>
            </w:r>
          </w:p>
        </w:tc>
        <w:tc>
          <w:tcPr/>
          <w:p>
            <w:pPr>
              <w:pStyle w:val="Compact"/>
              <w:jc w:val="left"/>
            </w:pPr>
            <w:r>
              <w:t xml:space="preserve">Purchased Goods &amp; Services (Materials)</w:t>
            </w:r>
          </w:p>
        </w:tc>
        <w:tc>
          <w:tcPr/>
          <w:p>
            <w:pPr>
              <w:pStyle w:val="Compact"/>
              <w:jc w:val="left"/>
            </w:pPr>
            <w:r>
              <w:t xml:space="preserve">7.75</w:t>
            </w:r>
          </w:p>
        </w:tc>
      </w:tr>
      <w:tr>
        <w:tc>
          <w:tcPr>
            <w:gridSpan w:val="1"/>
            <w:vMerge w:val="continue"/>
          </w:tcPr>
          <w:p>
            <w:pPr/>
          </w:p>
        </w:tc>
        <w:tc>
          <w:tcPr/>
          <w:p>
            <w:pPr>
              <w:pStyle w:val="Compact"/>
              <w:jc w:val="left"/>
            </w:pPr>
            <w:r>
              <w:t xml:space="preserve">Upstream Transportation &amp; Distribution</w:t>
            </w:r>
          </w:p>
        </w:tc>
        <w:tc>
          <w:tcPr/>
          <w:p>
            <w:pPr>
              <w:pStyle w:val="Compact"/>
              <w:jc w:val="left"/>
            </w:pPr>
            <w:r>
              <w:t xml:space="preserve">0.135</w:t>
            </w:r>
          </w:p>
        </w:tc>
      </w:tr>
      <w:tr>
        <w:tc>
          <w:tcPr>
            <w:gridSpan w:val="1"/>
            <w:vMerge w:val="continue"/>
          </w:tcPr>
          <w:p>
            <w:pPr/>
          </w:p>
        </w:tc>
        <w:tc>
          <w:tcPr/>
          <w:p>
            <w:pPr>
              <w:pStyle w:val="Compact"/>
              <w:jc w:val="left"/>
            </w:pPr>
            <w:r>
              <w:t xml:space="preserve">Downstream Transportation &amp; Distribution (Last-Mile)</w:t>
            </w:r>
          </w:p>
        </w:tc>
        <w:tc>
          <w:tcPr/>
          <w:p>
            <w:pPr>
              <w:pStyle w:val="Compact"/>
              <w:jc w:val="left"/>
            </w:pPr>
            <w:r>
              <w:t xml:space="preserve">10.0</w:t>
            </w:r>
          </w:p>
        </w:tc>
      </w:tr>
      <w:tr>
        <w:tc>
          <w:tcPr>
            <w:gridSpan w:val="1"/>
            <w:vMerge w:val="continue"/>
          </w:tcPr>
          <w:p>
            <w:pPr/>
          </w:p>
        </w:tc>
        <w:tc>
          <w:tcPr/>
          <w:p>
            <w:pPr>
              <w:pStyle w:val="Compact"/>
              <w:jc w:val="left"/>
            </w:pPr>
            <w:r>
              <w:t xml:space="preserve">Use of Sold Products</w:t>
            </w:r>
          </w:p>
        </w:tc>
        <w:tc>
          <w:tcPr/>
          <w:p>
            <w:pPr>
              <w:pStyle w:val="Compact"/>
              <w:jc w:val="left"/>
            </w:pPr>
            <w:r>
              <w:t xml:space="preserve">12.5</w:t>
            </w:r>
          </w:p>
        </w:tc>
      </w:tr>
      <w:tr>
        <w:tc>
          <w:tcPr>
            <w:gridSpan w:val="1"/>
            <w:vMerge w:val="continue"/>
          </w:tcPr>
          <w:p>
            <w:pPr/>
          </w:p>
        </w:tc>
        <w:tc>
          <w:tcPr/>
          <w:p>
            <w:pPr>
              <w:pStyle w:val="Compact"/>
              <w:jc w:val="left"/>
            </w:pPr>
            <w:r>
              <w:t xml:space="preserve">End-of-Life Treatment of Sold Products</w:t>
            </w:r>
          </w:p>
        </w:tc>
        <w:tc>
          <w:tcPr/>
          <w:p>
            <w:pPr>
              <w:pStyle w:val="Compact"/>
              <w:jc w:val="left"/>
            </w:pPr>
            <w:r>
              <w:t xml:space="preserve">-0.9</w:t>
            </w:r>
          </w:p>
        </w:tc>
      </w:tr>
      <w:tr>
        <w:tc>
          <w:tcPr>
            <w:gridSpan w:val="2"/>
          </w:tcPr>
          <w:p>
            <w:pPr>
              <w:pStyle w:val="Compact"/>
              <w:jc w:val="left"/>
            </w:pPr>
            <w:r>
              <w:rPr>
                <w:bCs/>
                <w:b/>
              </w:rPr>
              <w:t xml:space="preserve">TOTAL ILLUSTRATIVE PRODUCT CARBON FOOTPRINT</w:t>
            </w:r>
          </w:p>
        </w:tc>
        <w:tc>
          <w:tcPr/>
          <w:p>
            <w:pPr>
              <w:pStyle w:val="Compact"/>
              <w:jc w:val="left"/>
            </w:pPr>
            <w:r>
              <w:rPr>
                <w:bCs/>
                <w:b/>
              </w:rPr>
              <w:t xml:space="preserve">38.485 kg CO2e/unit</w:t>
            </w:r>
          </w:p>
        </w:tc>
      </w:tr>
    </w:tbl>
    <w:bookmarkEnd w:id="44"/>
    <w:bookmarkStart w:id="45" w:name="X504f4a86e01fdcfa46a4589bb1b5e0cfaad8629"/>
    <w:p>
      <w:pPr>
        <w:pStyle w:val="Heading3"/>
      </w:pPr>
      <w:r>
        <w:t xml:space="preserve">4.5 2026 Land Sector and Removals (LSR) Standard Update</w:t>
      </w:r>
    </w:p>
    <w:p>
      <w:pPr>
        <w:pStyle w:val="FirstParagraph"/>
      </w:pPr>
      <w:r>
        <w:t xml:space="preserve">The 2026 LSR Standard is integrated by carefully identifying and quantifying GHG emissions and removals from land use and land-use change. For xjsixktsox, this would primarily involve:</w:t>
      </w:r>
    </w:p>
    <w:p>
      <w:pPr>
        <w:numPr>
          <w:ilvl w:val="0"/>
          <w:numId w:val="1012"/>
        </w:numPr>
        <w:pStyle w:val="Compact"/>
      </w:pPr>
      <w:r>
        <w:rPr>
          <w:bCs/>
          <w:b/>
        </w:rPr>
        <w:t xml:space="preserve">Biogenic Carbon:</w:t>
      </w:r>
      <w:r>
        <w:t xml:space="preserve"> </w:t>
      </w:r>
      <w:r>
        <w:t xml:space="preserve">Tracking biogenic carbon fluxes associated with any bio-based materials in the BOM (e.g., wood pulp in packaging). Emissions from biomass combustion and removals from sustainable forestry are considered.</w:t>
      </w:r>
    </w:p>
    <w:p>
      <w:pPr>
        <w:numPr>
          <w:ilvl w:val="0"/>
          <w:numId w:val="1012"/>
        </w:numPr>
        <w:pStyle w:val="Compact"/>
      </w:pPr>
      <w:r>
        <w:rPr>
          <w:bCs/>
          <w:b/>
        </w:rPr>
        <w:t xml:space="preserve">Land-Use Change:</w:t>
      </w:r>
      <w:r>
        <w:t xml:space="preserve"> </w:t>
      </w:r>
      <w:r>
        <w:t xml:space="preserve">Assessing land-use change impacts related to the extraction or production of raw materials (e.g., deforestation for specific materials).</w:t>
      </w:r>
    </w:p>
    <w:p>
      <w:pPr>
        <w:pStyle w:val="FirstParagraph"/>
      </w:pPr>
      <w:r>
        <w:t xml:space="preserve">In this illustrative analysis, the cardboard packaging (0.1 kg) would be assessed for its biogenic carbon content and sustainability sourcing. Given its minor contribution, and without specific sourcing details, its impact is implicitly covered by its emission factor, but a full LSR application would require explicit tracking of biogenic carbon storage and emissions/removals.</w:t>
      </w:r>
    </w:p>
    <w:p>
      <w:pPr>
        <w:pStyle w:val="BodyText"/>
      </w:pPr>
      <w:r>
        <w:rPr>
          <w:bCs/>
          <w:b/>
        </w:rPr>
        <w:t xml:space="preserve">Illustrative LSR Application:</w:t>
      </w:r>
      <w:r>
        <w:t xml:space="preserve"> </w:t>
      </w:r>
      <w:r>
        <w:t xml:space="preserve">Minimal direct impact quantified due to limited bio-based materials and data, but principles are acknowledged and would be applied with full data.</w:t>
      </w:r>
    </w:p>
    <w:bookmarkEnd w:id="45"/>
    <w:bookmarkStart w:id="46" w:name="scope-3-compliance-95-coverage"/>
    <w:p>
      <w:pPr>
        <w:pStyle w:val="Heading3"/>
      </w:pPr>
      <w:r>
        <w:t xml:space="preserve">4.6 Scope 3 Compliance (95% Coverage)</w:t>
      </w:r>
    </w:p>
    <w:p>
      <w:pPr>
        <w:pStyle w:val="FirstParagraph"/>
      </w:pPr>
      <w:r>
        <w:t xml:space="preserve">This analysis, even with illustrative data, aims to demonstrate a comprehensive approach to Scope 3 reporting. By including emissions from purchased goods and services, upstream and downstream transportation, the use phase, and end-of-life scenarios, the report covers key categories likely to represent the majority of the product\'s value chain emissions. In a full, data-driven assessment, rigorous data collection across all relevant categories would ensure the</w:t>
      </w:r>
      <w:r>
        <w:t xml:space="preserve"> </w:t>
      </w:r>
      <w:r>
        <w:rPr>
          <w:bCs/>
          <w:b/>
        </w:rPr>
        <w:t xml:space="preserve">95% coverage requirement for Scope 3 emissions</w:t>
      </w:r>
      <w:r>
        <w:t xml:space="preserve"> </w:t>
      </w:r>
      <w:r>
        <w:t xml:space="preserve">is met as per 2026 requirements, through a combination of primary data and high-quality secondary (industry average) data.</w:t>
      </w:r>
    </w:p>
    <w:p>
      <w:r>
        <w:pict>
          <v:rect style="width:0;height:1.5pt" o:hralign="center" o:hrstd="t" o:hr="t"/>
        </w:pict>
      </w:r>
    </w:p>
    <w:bookmarkEnd w:id="46"/>
    <w:bookmarkEnd w:id="47"/>
    <w:bookmarkStart w:id="50" w:name="review-report"/>
    <w:p>
      <w:pPr>
        <w:pStyle w:val="Heading2"/>
      </w:pPr>
      <w:r>
        <w:t xml:space="preserve">5. Review &amp; Report</w:t>
      </w:r>
    </w:p>
    <w:bookmarkStart w:id="48" w:name="emission-hotspots"/>
    <w:p>
      <w:pPr>
        <w:pStyle w:val="Heading3"/>
      </w:pPr>
      <w:r>
        <w:t xml:space="preserve">5.1 Emission Hotspots</w:t>
      </w:r>
    </w:p>
    <w:p>
      <w:pPr>
        <w:pStyle w:val="FirstParagraph"/>
      </w:pPr>
      <w:r>
        <w:t xml:space="preserve">Based on the illustrative calculations, the primary emission hotspots for xjsixktsox are:</w:t>
      </w:r>
    </w:p>
    <w:p>
      <w:pPr>
        <w:numPr>
          <w:ilvl w:val="0"/>
          <w:numId w:val="1013"/>
        </w:numPr>
        <w:pStyle w:val="Compact"/>
      </w:pPr>
      <w:r>
        <w:rPr>
          <w:bCs/>
          <w:b/>
        </w:rPr>
        <w:t xml:space="preserve">Use Phase (12.5 kg CO2e/unit):</w:t>
      </w:r>
      <w:r>
        <w:t xml:space="preserve"> </w:t>
      </w:r>
      <w:r>
        <w:t xml:space="preserve">Energy consumption during the product\'s operational life represents the largest single contributor, indicating that product energy efficiency is paramount.</w:t>
      </w:r>
    </w:p>
    <w:p>
      <w:pPr>
        <w:numPr>
          <w:ilvl w:val="0"/>
          <w:numId w:val="1013"/>
        </w:numPr>
        <w:pStyle w:val="Compact"/>
      </w:pPr>
      <w:r>
        <w:rPr>
          <w:bCs/>
          <w:b/>
        </w:rPr>
        <w:t xml:space="preserve">Last-Mile Delivery (10.0 kg CO2e/unit):</w:t>
      </w:r>
      <w:r>
        <w:t xml:space="preserve"> </w:t>
      </w:r>
      <w:r>
        <w:t xml:space="preserve">The final leg of transportation to the customer has a significant impact, highlighting the importance of efficient logistics and alternative delivery methods.</w:t>
      </w:r>
    </w:p>
    <w:p>
      <w:pPr>
        <w:numPr>
          <w:ilvl w:val="0"/>
          <w:numId w:val="1013"/>
        </w:numPr>
        <w:pStyle w:val="Compact"/>
      </w:pPr>
      <w:r>
        <w:rPr>
          <w:bCs/>
          <w:b/>
        </w:rPr>
        <w:t xml:space="preserve">Purchased Electricity (Production) (9.0 kg CO2e/unit):</w:t>
      </w:r>
      <w:r>
        <w:t xml:space="preserve"> </w:t>
      </w:r>
      <w:r>
        <w:t xml:space="preserve">Despite 70% renewable energy usage, the remaining grid electricity consumption in China still contributes substantially.</w:t>
      </w:r>
    </w:p>
    <w:p>
      <w:pPr>
        <w:numPr>
          <w:ilvl w:val="0"/>
          <w:numId w:val="1013"/>
        </w:numPr>
        <w:pStyle w:val="Compact"/>
      </w:pPr>
      <w:r>
        <w:rPr>
          <w:bCs/>
          <w:b/>
        </w:rPr>
        <w:t xml:space="preserve">Purchased Goods &amp; Services (Materials) (7.75 kg CO2e/unit):</w:t>
      </w:r>
      <w:r>
        <w:t xml:space="preserve"> </w:t>
      </w:r>
      <w:r>
        <w:t xml:space="preserve">Raw material extraction and processing, particularly aluminum, contribute significantly, emphasizing material choice and sourcing.</w:t>
      </w:r>
    </w:p>
    <w:bookmarkEnd w:id="48"/>
    <w:bookmarkStart w:id="49" w:name="reliability-and-recommendations"/>
    <w:p>
      <w:pPr>
        <w:pStyle w:val="Heading3"/>
      </w:pPr>
      <w:r>
        <w:t xml:space="preserve">5.2 Reliability and Recommendations</w:t>
      </w:r>
    </w:p>
    <w:p>
      <w:pPr>
        <w:pStyle w:val="FirstParagraph"/>
      </w:pPr>
      <w:r>
        <w:t xml:space="preserve">The reliability of this illustrative report is dependent on the accuracy of the assumed parameters and generic emission factors. For an actual assessment, primary data collection for energy consumption, material quantities, and specific transport details is crucial. Industry-standard emission factors from reputable databases (like Ecoinvent or DEFRA) are critical for robust calculations.</w:t>
      </w:r>
    </w:p>
    <w:p>
      <w:pPr>
        <w:pStyle w:val="BodyText"/>
      </w:pPr>
      <w:r>
        <w:rPr>
          <w:bCs/>
          <w:b/>
        </w:rPr>
        <w:t xml:space="preserve">Recommendations for qlvmdffuse:</w:t>
      </w:r>
    </w:p>
    <w:p>
      <w:pPr>
        <w:numPr>
          <w:ilvl w:val="0"/>
          <w:numId w:val="1014"/>
        </w:numPr>
        <w:pStyle w:val="Compact"/>
      </w:pPr>
      <w:r>
        <w:rPr>
          <w:bCs/>
          <w:b/>
        </w:rPr>
        <w:t xml:space="preserve">Enhance Product Energy Efficiency:</w:t>
      </w:r>
      <w:r>
        <w:t xml:space="preserve"> </w:t>
      </w:r>
      <w:r>
        <w:t xml:space="preserve">Focus on engineering xjsixktsox for lower energy consumption during its use phase to significantly reduce its largest carbon footprint component.</w:t>
      </w:r>
    </w:p>
    <w:p>
      <w:pPr>
        <w:numPr>
          <w:ilvl w:val="0"/>
          <w:numId w:val="1014"/>
        </w:numPr>
        <w:pStyle w:val="Compact"/>
      </w:pPr>
      <w:r>
        <w:rPr>
          <w:bCs/>
          <w:b/>
        </w:rPr>
        <w:t xml:space="preserve">Optimize Last-Mile Logistics:</w:t>
      </w:r>
      <w:r>
        <w:t xml:space="preserve"> </w:t>
      </w:r>
      <w:r>
        <w:t xml:space="preserve">Investigate cleaner delivery options, optimize routing, and explore partnerships with low-carbon logistics providers.</w:t>
      </w:r>
    </w:p>
    <w:p>
      <w:pPr>
        <w:numPr>
          <w:ilvl w:val="0"/>
          <w:numId w:val="1014"/>
        </w:numPr>
        <w:pStyle w:val="Compact"/>
      </w:pPr>
      <w:r>
        <w:rPr>
          <w:bCs/>
          <w:b/>
        </w:rPr>
        <w:t xml:space="preserve">Increase Renewable Energy Sourcing:</w:t>
      </w:r>
      <w:r>
        <w:t xml:space="preserve"> </w:t>
      </w:r>
      <w:r>
        <w:t xml:space="preserve">Continue to increase the share of renewable energy in manufacturing operations, potentially through Power Purchase Agreements (PPAs) or on-site generation.</w:t>
      </w:r>
    </w:p>
    <w:p>
      <w:pPr>
        <w:numPr>
          <w:ilvl w:val="0"/>
          <w:numId w:val="1014"/>
        </w:numPr>
        <w:pStyle w:val="Compact"/>
      </w:pPr>
      <w:r>
        <w:rPr>
          <w:bCs/>
          <w:b/>
        </w:rPr>
        <w:t xml:space="preserve">Sustainable Material Sourcing:</w:t>
      </w:r>
      <w:r>
        <w:t xml:space="preserve"> </w:t>
      </w:r>
      <w:r>
        <w:t xml:space="preserve">Explore alternative materials with lower embodied carbon, prioritize recycled content, and work with suppliers to reduce the footprint of existing materials.</w:t>
      </w:r>
    </w:p>
    <w:p>
      <w:pPr>
        <w:numPr>
          <w:ilvl w:val="0"/>
          <w:numId w:val="1014"/>
        </w:numPr>
        <w:pStyle w:val="Compact"/>
      </w:pPr>
      <w:r>
        <w:rPr>
          <w:bCs/>
          <w:b/>
        </w:rPr>
        <w:t xml:space="preserve">Strengthen Circular Economy Programs:</w:t>
      </w:r>
      <w:r>
        <w:t xml:space="preserve"> </w:t>
      </w:r>
      <w:r>
        <w:t xml:space="preserve">Capitalize on the established take-back program to maximize recycling and reuse, potentially extending product lifecycles and minimizing waste.</w:t>
      </w:r>
    </w:p>
    <w:p>
      <w:pPr>
        <w:numPr>
          <w:ilvl w:val="0"/>
          <w:numId w:val="1014"/>
        </w:numPr>
        <w:pStyle w:val="Compact"/>
      </w:pPr>
      <w:r>
        <w:rPr>
          <w:bCs/>
          <w:b/>
        </w:rPr>
        <w:t xml:space="preserve">Data Collection:</w:t>
      </w:r>
      <w:r>
        <w:t xml:space="preserve"> </w:t>
      </w:r>
      <w:r>
        <w:t xml:space="preserve">Implement robust systems for collecting primary data for all BOM items, energy consumption, and transport distances to improve the accuracy and defensibility of future PCF reports.</w:t>
      </w:r>
    </w:p>
    <w:p>
      <w:r>
        <w:pict>
          <v:rect style="width:0;height:1.5pt" o:hralign="center" o:hrstd="t" o:hr="t"/>
        </w:pict>
      </w:r>
    </w:p>
    <w:p>
      <w:pPr>
        <w:pStyle w:val="FirstParagraph"/>
      </w:pPr>
      <w:r>
        <w:t xml:space="preserve">Confidential - Internal Use Only</w:t>
      </w:r>
    </w:p>
    <w:bookmarkEnd w:id="49"/>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xjsixktsox</dc:title>
  <dc:creator/>
  <dc:description>A high-detail Product Carbon Footprint (PCF) analysis report for xjsixktsox, conducted by Senior Sustainability Consultant nvopegfome for qlvmdffuse, adhering to GHG Protocol and 2026 LSR Update requirements.</dc:description>
  <dc:language>en</dc:language>
  <cp:keywords/>
  <dcterms:created xsi:type="dcterms:W3CDTF">2026-07-15T00:21:17Z</dcterms:created>
  <dcterms:modified xsi:type="dcterms:W3CDTF">2026-07-15T00:21:17Z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