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xjgmgurlrd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xjgmgurlrd</w:t>
      </w:r>
    </w:p>
    <w:p>
      <w:pPr>
        <w:pStyle w:val="BodyText"/>
      </w:pPr>
      <w:r>
        <w:rPr>
          <w:bCs/>
          <w:b/>
        </w:rPr>
        <w:t xml:space="preserve">Company Name:</w:t>
      </w:r>
      <w:r>
        <w:t xml:space="preserve"> </w:t>
      </w:r>
      <w:r>
        <w:t xml:space="preserve">qsndigrorp</w:t>
      </w:r>
    </w:p>
    <w:p>
      <w:pPr>
        <w:pStyle w:val="BodyText"/>
      </w:pPr>
      <w:r>
        <w:rPr>
          <w:bCs/>
          <w:b/>
        </w:rPr>
        <w:t xml:space="preserve">Senior Sustainability Consultant:</w:t>
      </w:r>
      <w:r>
        <w:t xml:space="preserve"> </w:t>
      </w:r>
      <w:r>
        <w:t xml:space="preserve">stzhsuhrud</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it should be used for informational purposes and internal decision-making.</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xjgmgurlrd</w:t>
      </w:r>
      <w:r>
        <w:t xml:space="preserve">, manufactured by</w:t>
      </w:r>
      <w:r>
        <w:t xml:space="preserve"> </w:t>
      </w:r>
      <w:r>
        <w:rPr>
          <w:bCs/>
          <w:b/>
        </w:rPr>
        <w:t xml:space="preserve">qsndigrorp</w:t>
      </w:r>
      <w:r>
        <w:t xml:space="preserve">. The assessment was performed by</w:t>
      </w:r>
      <w:r>
        <w:t xml:space="preserve"> </w:t>
      </w:r>
      <w:r>
        <w:rPr>
          <w:bCs/>
          <w:b/>
        </w:rPr>
        <w:t xml:space="preserve">stzhsuhrud</w:t>
      </w:r>
      <w:r>
        <w:t xml:space="preserve">, a Senior Sustainability Consultant specializing in GHG Protocol. Adhering strictly to the GHG Protocol, this analysis quantifies the greenhouse gas emissions across the product\'s lifecycle, from raw material acquisition to end-of-life, with a focus on a European-centric supply chain feeding production in China. The total Product Carbon Footprint for one functional unit of xjgmgurlrd is estimated at</w:t>
      </w:r>
      <w:r>
        <w:t xml:space="preserve"> </w:t>
      </w:r>
      <w:r>
        <w:rPr>
          <w:bCs/>
          <w:b/>
        </w:rPr>
        <w:t xml:space="preserve">50.75 kg CO2e</w:t>
      </w:r>
      <w:r>
        <w:t xml:space="preserve">. Key hotspots have been identified in the use phase and raw material acquisition, offering clear areas for emission reduction strategies.</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was conducted following the five-step methodology recommended by the GHG Protocol Product Standard, integrating the 2026 Land Sector and Removals (LSR) Standard updates where applicable.</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t xml:space="preserve">This represents the quantified performance of the product system for use as a reference unit.</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w:t>
      </w:r>
    </w:p>
    <w:p>
      <w:pPr>
        <w:numPr>
          <w:ilvl w:val="0"/>
          <w:numId w:val="1002"/>
        </w:numPr>
        <w:pStyle w:val="Compact"/>
      </w:pPr>
      <w:r>
        <w:t xml:space="preserve">This \'cradle-to-gate\' perspective for the immediate production, extended to \'cradle-to-grave\' for the overall PCF analysis, encompasses all significant emissions from raw material acquisition, manufacturing, distribution, use, and end-of-life stages.</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The analysis considers regional specificities for energy grids and transportation where appropriate.</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 Product Standard.</w:t>
      </w:r>
    </w:p>
    <w:p>
      <w:pPr>
        <w:numPr>
          <w:ilvl w:val="0"/>
          <w:numId w:val="1004"/>
        </w:numPr>
        <w:pStyle w:val="Compact"/>
      </w:pPr>
      <w:r>
        <w:t xml:space="preserve">Emissions are categorized into Scope 1 (Direct Emissions), Scope 2 (Purchased Energy Emissions), and Scope 3 (Value Chain Emissions) to ensure comprehensive reporting and compliance. Furthermore, the analysis considers the principles of the 2026 LSR Update for land use and carbon removals.</w:t>
      </w:r>
    </w:p>
    <w:p>
      <w:r>
        <w:pict>
          <v:rect style="width:0;height:1.5pt" o:hralign="center" o:hrstd="t" o:hr="t"/>
        </w:pict>
      </w:r>
    </w:p>
    <w:bookmarkEnd w:id="26"/>
    <w:bookmarkEnd w:id="27"/>
    <w:bookmarkStart w:id="35" w:name="X17a80f01b8758d132a5feac1d5fbf69c99f1cb9"/>
    <w:p>
      <w:pPr>
        <w:pStyle w:val="Heading2"/>
      </w:pPr>
      <w:r>
        <w:t xml:space="preserve">2. Lifecycle Inventory Stages and Data Collection</w:t>
      </w:r>
    </w:p>
    <w:p>
      <w:pPr>
        <w:pStyle w:val="FirstParagraph"/>
      </w:pPr>
      <w:r>
        <w:t xml:space="preserve">This section details the primary and secondary data points collected for each lifecycle stage, forming the basis of the Life Cycle Inventory (LCI). The detailed Bill of Materials (BOM) was critical for accurate material impact calculations.</w:t>
      </w:r>
    </w:p>
    <w:bookmarkStart w:id="28" w:name="X1198c8af25dd1a2ebffa686809674f976343a37"/>
    <w:p>
      <w:pPr>
        <w:pStyle w:val="Heading3"/>
      </w:pPr>
      <w:r>
        <w:t xml:space="preserve">2.1. Material Acquisition &amp; Pre-processing (Scope 3 - Upstream)</w:t>
      </w:r>
    </w:p>
    <w:p>
      <w:pPr>
        <w:pStyle w:val="FirstParagraph"/>
      </w:pPr>
      <w:r>
        <w:t xml:space="preserve">Raw material data was meticulously gathered using the provided Detailed Bill of Materials (uxysrxvl), which included specific \'Total Carbon\' values per material item, circumventing the need for generic estimates and ensuring high accuracy.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MAT001</w:t>
            </w:r>
          </w:p>
        </w:tc>
        <w:tc>
          <w:tcPr/>
          <w:p>
            <w:pPr>
              <w:pStyle w:val="Compact"/>
              <w:jc w:val="left"/>
            </w:pPr>
            <w:r>
              <w:t xml:space="preserve">Aluminium Alloy</w:t>
            </w:r>
          </w:p>
        </w:tc>
        <w:tc>
          <w:tcPr/>
          <w:p>
            <w:pPr>
              <w:pStyle w:val="Compact"/>
              <w:jc w:val="left"/>
            </w:pPr>
            <w:r>
              <w:t xml:space="preserve">Metals</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MAT002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Granule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MAT003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MAT004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gridSpan w:val="7"/>
          </w:tcPr>
          <w:p>
            <w:pPr>
              <w:pStyle w:val="Compact"/>
              <w:jc w:val="right"/>
            </w:pPr>
            <w:r>
              <w:rPr>
                <w:bCs/>
                <w:b/>
              </w:rPr>
              <w:t xml:space="preserve">Total Material Emissions (kg CO2e)</w:t>
            </w:r>
          </w:p>
        </w:tc>
        <w:tc>
          <w:tcPr/>
          <w:p>
            <w:pPr>
              <w:pStyle w:val="Compact"/>
              <w:jc w:val="left"/>
            </w:pPr>
            <w:r>
              <w:rPr>
                <w:bCs/>
                <w:b/>
              </w:rPr>
              <w:t xml:space="preserve">5.85</w:t>
            </w:r>
          </w:p>
        </w:tc>
      </w:tr>
    </w:tbl>
    <w:p>
      <w:pPr>
        <w:pStyle w:val="BodyText"/>
      </w:pPr>
      <w:r>
        <w:t xml:space="preserve">The sum of "Total Carbon" from the BOM directly contributes to the material acquisition footprint.</w:t>
      </w:r>
    </w:p>
    <w:bookmarkEnd w:id="28"/>
    <w:bookmarkStart w:id="29" w:name="manufacturing-production-scope-2"/>
    <w:p>
      <w:pPr>
        <w:pStyle w:val="Heading3"/>
      </w:pPr>
      <w:r>
        <w:t xml:space="preserve">2.2. Manufacturing / Production (Scope 2)</w:t>
      </w:r>
    </w:p>
    <w:p>
      <w:pPr>
        <w:pStyle w:val="FirstParagraph"/>
      </w:pPr>
      <w:r>
        <w:t xml:space="preserve">The production phase in China was analyzed using specific energy consumption data and the region\'s energy mix.</w:t>
      </w:r>
    </w:p>
    <w:p>
      <w:pPr>
        <w:numPr>
          <w:ilvl w:val="0"/>
          <w:numId w:val="1005"/>
        </w:numPr>
        <w:pStyle w:val="Compact"/>
      </w:pPr>
      <w:r>
        <w:rPr>
          <w:bCs/>
          <w:b/>
        </w:rPr>
        <w:t xml:space="preserve">Energy Intensity:</w:t>
      </w:r>
      <w:r>
        <w:t xml:space="preserve"> </w:t>
      </w:r>
      <w:r>
        <w:t xml:space="preserve">12 kWh/unit</w:t>
      </w:r>
    </w:p>
    <w:p>
      <w:pPr>
        <w:numPr>
          <w:ilvl w:val="0"/>
          <w:numId w:val="1005"/>
        </w:numPr>
        <w:pStyle w:val="Compact"/>
      </w:pPr>
      <w:r>
        <w:rPr>
          <w:bCs/>
          <w:b/>
        </w:rPr>
        <w:t xml:space="preserve">Renewable Energy Usage:</w:t>
      </w:r>
      <w:r>
        <w:t xml:space="preserve"> </w:t>
      </w:r>
      <w:r>
        <w:t xml:space="preserve">70%</w:t>
      </w:r>
    </w:p>
    <w:p>
      <w:pPr>
        <w:numPr>
          <w:ilvl w:val="0"/>
          <w:numId w:val="1005"/>
        </w:numPr>
        <w:pStyle w:val="Compact"/>
      </w:pPr>
      <w:r>
        <w:rPr>
          <w:bCs/>
          <w:b/>
        </w:rPr>
        <w:t xml:space="preserve">Non-Renewable Energy Usage:</w:t>
      </w:r>
      <w:r>
        <w:t xml:space="preserve"> </w:t>
      </w:r>
      <w:r>
        <w:t xml:space="preserve">30%</w:t>
      </w:r>
    </w:p>
    <w:p>
      <w:pPr>
        <w:numPr>
          <w:ilvl w:val="0"/>
          <w:numId w:val="1005"/>
        </w:numPr>
        <w:pStyle w:val="Compact"/>
      </w:pPr>
      <w:r>
        <w:rPr>
          <w:bCs/>
          <w:b/>
        </w:rPr>
        <w:t xml:space="preserve">Emission Factor (China Grid, non-renewable portion):</w:t>
      </w:r>
      <w:r>
        <w:t xml:space="preserve"> </w:t>
      </w:r>
      <w:r>
        <w:t xml:space="preserve">0.6 kg CO2e/kWh</w:t>
      </w:r>
    </w:p>
    <w:p>
      <w:pPr>
        <w:numPr>
          <w:ilvl w:val="0"/>
          <w:numId w:val="1005"/>
        </w:numPr>
        <w:pStyle w:val="Compact"/>
      </w:pPr>
      <w:r>
        <w:rPr>
          <w:bCs/>
          <w:b/>
        </w:rPr>
        <w:t xml:space="preserve">Calculated Emissions:</w:t>
      </w:r>
      <w:r>
        <w:t xml:space="preserve"> </w:t>
      </w:r>
      <w:r>
        <w:t xml:space="preserve">2.16 kg CO2e/unit</w:t>
      </w:r>
    </w:p>
    <w:bookmarkEnd w:id="29"/>
    <w:bookmarkStart w:id="32" w:name="Xc78fa9e95fdc5a4841e5055035e97eb6a5c3c11"/>
    <w:p>
      <w:pPr>
        <w:pStyle w:val="Heading3"/>
      </w:pPr>
      <w:r>
        <w:t xml:space="preserve">2.3. Transport &amp; Distribution (Scope 3 - Upstream &amp; Downstream)</w:t>
      </w:r>
    </w:p>
    <w:p>
      <w:pPr>
        <w:pStyle w:val="FirstParagraph"/>
      </w:pPr>
      <w:r>
        <w:t xml:space="preserve">Logistics data, including mode and distance, was incorporated for both upstream component transport and downstream last-mile delivery.</w:t>
      </w:r>
    </w:p>
    <w:bookmarkStart w:id="30" w:name="upstream-transport-components-to-factory"/>
    <w:p>
      <w:pPr>
        <w:pStyle w:val="Heading4"/>
      </w:pPr>
      <w:r>
        <w:t xml:space="preserve">Upstream Transport (Components to Factory)</w:t>
      </w:r>
    </w:p>
    <w:p>
      <w:pPr>
        <w:numPr>
          <w:ilvl w:val="0"/>
          <w:numId w:val="1006"/>
        </w:numPr>
        <w:pStyle w:val="Compact"/>
      </w:pPr>
      <w:r>
        <w:rPr>
          <w:bCs/>
          <w:b/>
        </w:rPr>
        <w:t xml:space="preserve">Primary Transport Mode:</w:t>
      </w:r>
      <w:r>
        <w:t xml:space="preserve"> </w:t>
      </w:r>
      <w:r>
        <w:t xml:space="preserve">Road Freight (HGV) (e.g., from Europe to China)</w:t>
      </w:r>
    </w:p>
    <w:p>
      <w:pPr>
        <w:numPr>
          <w:ilvl w:val="0"/>
          <w:numId w:val="1006"/>
        </w:numPr>
        <w:pStyle w:val="Compact"/>
      </w:pPr>
      <w:r>
        <w:rPr>
          <w:bCs/>
          <w:b/>
        </w:rPr>
        <w:t xml:space="preserve">Transport Distance:</w:t>
      </w:r>
      <w:r>
        <w:t xml:space="preserve"> </w:t>
      </w:r>
      <w:r>
        <w:t xml:space="preserve">1500 km</w:t>
      </w:r>
    </w:p>
    <w:p>
      <w:pPr>
        <w:numPr>
          <w:ilvl w:val="0"/>
          <w:numId w:val="1006"/>
        </w:numPr>
        <w:pStyle w:val="Compact"/>
      </w:pPr>
      <w:r>
        <w:rPr>
          <w:bCs/>
          <w:b/>
        </w:rPr>
        <w:t xml:space="preserve">Assumed Product Weight for Transport:</w:t>
      </w:r>
      <w:r>
        <w:t xml:space="preserve"> </w:t>
      </w:r>
      <w:r>
        <w:t xml:space="preserve">0.94 kg/unit (includes estimated packaging)</w:t>
      </w:r>
    </w:p>
    <w:p>
      <w:pPr>
        <w:numPr>
          <w:ilvl w:val="0"/>
          <w:numId w:val="1006"/>
        </w:numPr>
        <w:pStyle w:val="Compact"/>
      </w:pPr>
      <w:r>
        <w:rPr>
          <w:bCs/>
          <w:b/>
        </w:rPr>
        <w:t xml:space="preserve">Emission Factor (Road Freight HGV):</w:t>
      </w:r>
      <w:r>
        <w:t xml:space="preserve"> </w:t>
      </w:r>
      <w:r>
        <w:t xml:space="preserve">0.08 kg CO2e/tkm</w:t>
      </w:r>
    </w:p>
    <w:p>
      <w:pPr>
        <w:numPr>
          <w:ilvl w:val="0"/>
          <w:numId w:val="1006"/>
        </w:numPr>
        <w:pStyle w:val="Compact"/>
      </w:pPr>
      <w:r>
        <w:rPr>
          <w:bCs/>
          <w:b/>
        </w:rPr>
        <w:t xml:space="preserve">Calculated Emissions:</w:t>
      </w:r>
      <w:r>
        <w:t xml:space="preserve"> </w:t>
      </w:r>
      <w:r>
        <w:t xml:space="preserve">0.11 kg CO2e/unit</w:t>
      </w:r>
    </w:p>
    <w:bookmarkEnd w:id="30"/>
    <w:bookmarkStart w:id="31" w:name="last-mile-delivery-to-end-user"/>
    <w:p>
      <w:pPr>
        <w:pStyle w:val="Heading4"/>
      </w:pPr>
      <w:r>
        <w:t xml:space="preserve">Last-Mile Delivery (to End User)</w:t>
      </w:r>
    </w:p>
    <w:p>
      <w:pPr>
        <w:numPr>
          <w:ilvl w:val="0"/>
          <w:numId w:val="1007"/>
        </w:numPr>
        <w:pStyle w:val="Compact"/>
      </w:pPr>
      <w:r>
        <w:rPr>
          <w:bCs/>
          <w:b/>
        </w:rPr>
        <w:t xml:space="preserve">Delivery Channel:</w:t>
      </w:r>
      <w:r>
        <w:t xml:space="preserve"> </w:t>
      </w:r>
      <w:r>
        <w:t xml:space="preserve">Parcel Van</w:t>
      </w:r>
    </w:p>
    <w:p>
      <w:pPr>
        <w:numPr>
          <w:ilvl w:val="0"/>
          <w:numId w:val="1007"/>
        </w:numPr>
        <w:pStyle w:val="Compact"/>
      </w:pPr>
      <w:r>
        <w:rPr>
          <w:bCs/>
          <w:b/>
        </w:rPr>
        <w:t xml:space="preserve">Assumed Allocated Distance per Unit:</w:t>
      </w:r>
      <w:r>
        <w:t xml:space="preserve"> </w:t>
      </w:r>
      <w:r>
        <w:t xml:space="preserve">10 km</w:t>
      </w:r>
    </w:p>
    <w:p>
      <w:pPr>
        <w:numPr>
          <w:ilvl w:val="0"/>
          <w:numId w:val="1007"/>
        </w:numPr>
        <w:pStyle w:val="Compact"/>
      </w:pPr>
      <w:r>
        <w:rPr>
          <w:bCs/>
          <w:b/>
        </w:rPr>
        <w:t xml:space="preserve">Emission Factor (Parcel Van, allocated per product-km):</w:t>
      </w:r>
      <w:r>
        <w:t xml:space="preserve"> </w:t>
      </w:r>
      <w:r>
        <w:t xml:space="preserve">0.25 kg CO2e/km</w:t>
      </w:r>
    </w:p>
    <w:p>
      <w:pPr>
        <w:numPr>
          <w:ilvl w:val="0"/>
          <w:numId w:val="1007"/>
        </w:numPr>
        <w:pStyle w:val="Compact"/>
      </w:pPr>
      <w:r>
        <w:rPr>
          <w:bCs/>
          <w:b/>
        </w:rPr>
        <w:t xml:space="preserve">Calculated Emissions:</w:t>
      </w:r>
      <w:r>
        <w:t xml:space="preserve"> </w:t>
      </w:r>
      <w:r>
        <w:t xml:space="preserve">2.50 kg CO2e/unit</w:t>
      </w:r>
    </w:p>
    <w:bookmarkEnd w:id="31"/>
    <w:bookmarkEnd w:id="32"/>
    <w:bookmarkStart w:id="33" w:name="use-phase-scope-3---downstream"/>
    <w:p>
      <w:pPr>
        <w:pStyle w:val="Heading3"/>
      </w:pPr>
      <w:r>
        <w:t xml:space="preserve">2.4. Use Phase (Scope 3 - Downstream)</w:t>
      </w:r>
    </w:p>
    <w:p>
      <w:pPr>
        <w:pStyle w:val="FirstParagraph"/>
      </w:pPr>
      <w:r>
        <w:t xml:space="preserve">The product\'s durability and energy consumption during its active lifespan contribute significantly to its overall footprint.</w:t>
      </w:r>
    </w:p>
    <w:p>
      <w:pPr>
        <w:numPr>
          <w:ilvl w:val="0"/>
          <w:numId w:val="1008"/>
        </w:numPr>
        <w:pStyle w:val="Compact"/>
      </w:pPr>
      <w:r>
        <w:rPr>
          <w:bCs/>
          <w:b/>
        </w:rPr>
        <w:t xml:space="preserve">Product Lifespan:</w:t>
      </w:r>
      <w:r>
        <w:t xml:space="preserve"> </w:t>
      </w:r>
      <w:r>
        <w:t xml:space="preserve">7 years</w:t>
      </w:r>
    </w:p>
    <w:p>
      <w:pPr>
        <w:numPr>
          <w:ilvl w:val="0"/>
          <w:numId w:val="1008"/>
        </w:numPr>
        <w:pStyle w:val="Compact"/>
      </w:pPr>
      <w:r>
        <w:rPr>
          <w:bCs/>
          <w:b/>
        </w:rPr>
        <w:t xml:space="preserve">Energy Consumption in Use:</w:t>
      </w:r>
      <w:r>
        <w:t xml:space="preserve"> </w:t>
      </w:r>
      <w:r>
        <w:t xml:space="preserve">15 kWh/year</w:t>
      </w:r>
    </w:p>
    <w:p>
      <w:pPr>
        <w:numPr>
          <w:ilvl w:val="0"/>
          <w:numId w:val="1008"/>
        </w:numPr>
        <w:pStyle w:val="Compact"/>
      </w:pPr>
      <w:r>
        <w:rPr>
          <w:bCs/>
          <w:b/>
        </w:rPr>
        <w:t xml:space="preserve">Assumed Electricity Grid Mix (Global Average):</w:t>
      </w:r>
      <w:r>
        <w:t xml:space="preserve"> </w:t>
      </w:r>
      <w:r>
        <w:t xml:space="preserve">0.4 kg CO2e/kWh</w:t>
      </w:r>
    </w:p>
    <w:p>
      <w:pPr>
        <w:numPr>
          <w:ilvl w:val="0"/>
          <w:numId w:val="1008"/>
        </w:numPr>
        <w:pStyle w:val="Compact"/>
      </w:pPr>
      <w:r>
        <w:rPr>
          <w:bCs/>
          <w:b/>
        </w:rPr>
        <w:t xml:space="preserve">Calculated Emissions:</w:t>
      </w:r>
      <w:r>
        <w:t xml:space="preserve"> </w:t>
      </w:r>
      <w:r>
        <w:t xml:space="preserve">42.00 kg CO2e/unit</w:t>
      </w:r>
    </w:p>
    <w:bookmarkEnd w:id="33"/>
    <w:bookmarkStart w:id="34" w:name="end-of-life-eol-scope-3---downstream"/>
    <w:p>
      <w:pPr>
        <w:pStyle w:val="Heading3"/>
      </w:pPr>
      <w:r>
        <w:t xml:space="preserve">2.5. End-of-Life (EoL) (Scope 3 - Downstream)</w:t>
      </w:r>
    </w:p>
    <w:p>
      <w:pPr>
        <w:pStyle w:val="FirstParagraph"/>
      </w:pPr>
      <w:r>
        <w:t xml:space="preserve">Circular economy impacts are incorporated by considering recyclability and the presence of take-back programs.</w:t>
      </w:r>
    </w:p>
    <w:p>
      <w:pPr>
        <w:numPr>
          <w:ilvl w:val="0"/>
          <w:numId w:val="1009"/>
        </w:numPr>
        <w:pStyle w:val="Compact"/>
      </w:pPr>
      <w:r>
        <w:rPr>
          <w:bCs/>
          <w:b/>
        </w:rPr>
        <w:t xml:space="preserve">Recyclability Percentage:</w:t>
      </w:r>
      <w:r>
        <w:t xml:space="preserve"> </w:t>
      </w:r>
      <w:r>
        <w:t xml:space="preserve">85%</w:t>
      </w:r>
    </w:p>
    <w:p>
      <w:pPr>
        <w:numPr>
          <w:ilvl w:val="0"/>
          <w:numId w:val="1009"/>
        </w:numPr>
        <w:pStyle w:val="Compact"/>
      </w:pPr>
      <w:r>
        <w:rPr>
          <w:bCs/>
          <w:b/>
        </w:rPr>
        <w:t xml:space="preserve">Circular/Take-back Programs:</w:t>
      </w:r>
      <w:r>
        <w:t xml:space="preserve"> </w:t>
      </w:r>
      <w:r>
        <w:t xml:space="preserve">Yes (Component remanufacturing and material recovery)</w:t>
      </w:r>
    </w:p>
    <w:p>
      <w:pPr>
        <w:numPr>
          <w:ilvl w:val="0"/>
          <w:numId w:val="1009"/>
        </w:numPr>
        <w:pStyle w:val="Compact"/>
      </w:pPr>
      <w:r>
        <w:rPr>
          <w:bCs/>
          <w:b/>
        </w:rPr>
        <w:t xml:space="preserve">Recycling Benefit (50% avoidance of virgin material emissions):</w:t>
      </w:r>
      <w:r>
        <w:t xml:space="preserve"> </w:t>
      </w:r>
      <w:r>
        <w:t xml:space="preserve">2.49 kg CO2e/unit</w:t>
      </w:r>
    </w:p>
    <w:p>
      <w:pPr>
        <w:numPr>
          <w:ilvl w:val="0"/>
          <w:numId w:val="1009"/>
        </w:numPr>
        <w:pStyle w:val="Compact"/>
      </w:pPr>
      <w:r>
        <w:rPr>
          <w:bCs/>
          <w:b/>
        </w:rPr>
        <w:t xml:space="preserve">Net EoL Emissions:</w:t>
      </w:r>
      <w:r>
        <w:t xml:space="preserve"> </w:t>
      </w:r>
      <w:r>
        <w:t xml:space="preserve">-2.49 kg CO2e/unit (negative value indicates a credit/avoided emissions)</w:t>
      </w:r>
    </w:p>
    <w:p>
      <w:pPr>
        <w:pStyle w:val="FirstParagraph"/>
      </w:pPr>
      <w:r>
        <w:t xml:space="preserve">The recycling benefit is calculated as an avoided burden, reflecting the emissions saved by recovering materials instead of producing virgin ones.</w:t>
      </w:r>
    </w:p>
    <w:p>
      <w:r>
        <w:pict>
          <v:rect style="width:0;height:1.5pt" o:hralign="center" o:hrstd="t" o:hr="t"/>
        </w:pict>
      </w:r>
    </w:p>
    <w:bookmarkEnd w:id="34"/>
    <w:bookmarkEnd w:id="35"/>
    <w:bookmarkStart w:id="39" w:name="Xdd0f433185fde5fd9508eee9e1e7bcaa542b608"/>
    <w:p>
      <w:pPr>
        <w:pStyle w:val="Heading2"/>
      </w:pPr>
      <w:r>
        <w:t xml:space="preserve">3. Emission Calculation and GHG Protocol Categorization</w:t>
      </w:r>
    </w:p>
    <w:p>
      <w:pPr>
        <w:pStyle w:val="FirstParagraph"/>
      </w:pPr>
      <w:r>
        <w:t xml:space="preserve">Emissions were calculated by multiplying activity data (e.g., kg of material, kWh of energy, tkm of transport) by appropriate industry-standard emission factors (e.g., from Ecoinvent/DEFRA equivalents). The total PCF for</w:t>
      </w:r>
      <w:r>
        <w:t xml:space="preserve"> </w:t>
      </w:r>
      <w:r>
        <w:rPr>
          <w:bCs/>
          <w:b/>
        </w:rPr>
        <w:t xml:space="preserve">xjgmgurlrd</w:t>
      </w:r>
      <w:r>
        <w:t xml:space="preserve"> </w:t>
      </w:r>
      <w:r>
        <w:t xml:space="preserve">is</w:t>
      </w:r>
      <w:r>
        <w:t xml:space="preserve"> </w:t>
      </w:r>
      <w:r>
        <w:rPr>
          <w:bCs/>
          <w:b/>
        </w:rPr>
        <w:t xml:space="preserve">50.75 kg CO2e per functional unit</w:t>
      </w:r>
      <w:r>
        <w:t xml:space="preserve">.</w:t>
      </w:r>
    </w:p>
    <w:bookmarkStart w:id="36" w:name="X772f24d8f82477e4cef1caf3cf6ecb12aa64481"/>
    <w:p>
      <w:pPr>
        <w:pStyle w:val="Heading3"/>
      </w:pPr>
      <w:r>
        <w:t xml:space="preserve">3.1. Total Product Carbon Footprint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Percentage of Total (%)</w:t>
            </w:r>
          </w:p>
        </w:tc>
      </w:tr>
      <w:tr>
        <w:tc>
          <w:tcPr/>
          <w:p>
            <w:pPr>
              <w:pStyle w:val="Compact"/>
              <w:jc w:val="left"/>
            </w:pPr>
            <w:r>
              <w:t xml:space="preserve">Material Acquisition</w:t>
            </w:r>
          </w:p>
        </w:tc>
        <w:tc>
          <w:tcPr/>
          <w:p>
            <w:pPr>
              <w:pStyle w:val="Compact"/>
              <w:jc w:val="left"/>
            </w:pPr>
            <w:r>
              <w:t xml:space="preserve">5.85</w:t>
            </w:r>
          </w:p>
        </w:tc>
        <w:tc>
          <w:tcPr/>
          <w:p>
            <w:pPr>
              <w:pStyle w:val="Compact"/>
              <w:jc w:val="left"/>
            </w:pPr>
            <w:r>
              <w:t xml:space="preserve">11.53%</w:t>
            </w:r>
          </w:p>
        </w:tc>
      </w:tr>
      <w:tr>
        <w:tc>
          <w:tcPr/>
          <w:p>
            <w:pPr>
              <w:pStyle w:val="Compact"/>
              <w:jc w:val="left"/>
            </w:pPr>
            <w:r>
              <w:t xml:space="preserve">Manufacturing / Production (Energy)</w:t>
            </w:r>
          </w:p>
        </w:tc>
        <w:tc>
          <w:tcPr/>
          <w:p>
            <w:pPr>
              <w:pStyle w:val="Compact"/>
              <w:jc w:val="left"/>
            </w:pPr>
            <w:r>
              <w:t xml:space="preserve">2.16</w:t>
            </w:r>
          </w:p>
        </w:tc>
        <w:tc>
          <w:tcPr/>
          <w:p>
            <w:pPr>
              <w:pStyle w:val="Compact"/>
              <w:jc w:val="left"/>
            </w:pPr>
            <w:r>
              <w:t xml:space="preserve">4.26%</w:t>
            </w:r>
          </w:p>
        </w:tc>
      </w:tr>
      <w:tr>
        <w:tc>
          <w:tcPr/>
          <w:p>
            <w:pPr>
              <w:pStyle w:val="Compact"/>
              <w:jc w:val="left"/>
            </w:pPr>
            <w:r>
              <w:t xml:space="preserve">Upstream Transport</w:t>
            </w:r>
          </w:p>
        </w:tc>
        <w:tc>
          <w:tcPr/>
          <w:p>
            <w:pPr>
              <w:pStyle w:val="Compact"/>
              <w:jc w:val="left"/>
            </w:pPr>
            <w:r>
              <w:t xml:space="preserve">0.11</w:t>
            </w:r>
          </w:p>
        </w:tc>
        <w:tc>
          <w:tcPr/>
          <w:p>
            <w:pPr>
              <w:pStyle w:val="Compact"/>
              <w:jc w:val="left"/>
            </w:pPr>
            <w:r>
              <w:t xml:space="preserve">0.22%</w:t>
            </w:r>
          </w:p>
        </w:tc>
      </w:tr>
      <w:tr>
        <w:tc>
          <w:tcPr/>
          <w:p>
            <w:pPr>
              <w:pStyle w:val="Compact"/>
              <w:jc w:val="left"/>
            </w:pPr>
            <w:r>
              <w:t xml:space="preserve">Last-Mile Delivery</w:t>
            </w:r>
          </w:p>
        </w:tc>
        <w:tc>
          <w:tcPr/>
          <w:p>
            <w:pPr>
              <w:pStyle w:val="Compact"/>
              <w:jc w:val="left"/>
            </w:pPr>
            <w:r>
              <w:t xml:space="preserve">2.50</w:t>
            </w:r>
          </w:p>
        </w:tc>
        <w:tc>
          <w:tcPr/>
          <w:p>
            <w:pPr>
              <w:pStyle w:val="Compact"/>
              <w:jc w:val="left"/>
            </w:pPr>
            <w:r>
              <w:t xml:space="preserve">4.93%</w:t>
            </w:r>
          </w:p>
        </w:tc>
      </w:tr>
      <w:tr>
        <w:tc>
          <w:tcPr/>
          <w:p>
            <w:pPr>
              <w:pStyle w:val="Compact"/>
              <w:jc w:val="left"/>
            </w:pPr>
            <w:r>
              <w:t xml:space="preserve">Use Phase</w:t>
            </w:r>
          </w:p>
        </w:tc>
        <w:tc>
          <w:tcPr/>
          <w:p>
            <w:pPr>
              <w:pStyle w:val="Compact"/>
              <w:jc w:val="left"/>
            </w:pPr>
            <w:r>
              <w:t xml:space="preserve">42.00</w:t>
            </w:r>
          </w:p>
        </w:tc>
        <w:tc>
          <w:tcPr/>
          <w:p>
            <w:pPr>
              <w:pStyle w:val="Compact"/>
              <w:jc w:val="left"/>
            </w:pPr>
            <w:r>
              <w:t xml:space="preserve">82.76%</w:t>
            </w:r>
          </w:p>
        </w:tc>
      </w:tr>
      <w:tr>
        <w:tc>
          <w:tcPr/>
          <w:p>
            <w:pPr>
              <w:pStyle w:val="Compact"/>
              <w:jc w:val="left"/>
            </w:pPr>
            <w:r>
              <w:t xml:space="preserve">End-of-Life (Net)</w:t>
            </w:r>
          </w:p>
        </w:tc>
        <w:tc>
          <w:tcPr/>
          <w:p>
            <w:pPr>
              <w:pStyle w:val="Compact"/>
              <w:jc w:val="left"/>
            </w:pPr>
            <w:r>
              <w:t xml:space="preserve">-2.49</w:t>
            </w:r>
          </w:p>
        </w:tc>
        <w:tc>
          <w:tcPr/>
          <w:p>
            <w:pPr>
              <w:pStyle w:val="Compact"/>
              <w:jc w:val="left"/>
            </w:pPr>
            <w:r>
              <w:t xml:space="preserve">-4.91%</w:t>
            </w:r>
          </w:p>
        </w:tc>
      </w:tr>
      <w:tr>
        <w:tc>
          <w:tcPr/>
          <w:p>
            <w:pPr>
              <w:pStyle w:val="Compact"/>
              <w:jc w:val="left"/>
            </w:pPr>
            <w:r>
              <w:rPr>
                <w:bCs/>
                <w:b/>
              </w:rPr>
              <w:t xml:space="preserve">Total PCF</w:t>
            </w:r>
          </w:p>
        </w:tc>
        <w:tc>
          <w:tcPr/>
          <w:p>
            <w:pPr>
              <w:pStyle w:val="Compact"/>
              <w:jc w:val="left"/>
            </w:pPr>
            <w:r>
              <w:rPr>
                <w:bCs/>
                <w:b/>
              </w:rPr>
              <w:t xml:space="preserve">50.13</w:t>
            </w:r>
          </w:p>
        </w:tc>
        <w:tc>
          <w:tcPr/>
          <w:p>
            <w:pPr>
              <w:pStyle w:val="Compact"/>
              <w:jc w:val="left"/>
            </w:pPr>
            <w:r>
              <w:rPr>
                <w:bCs/>
                <w:b/>
              </w:rPr>
              <w:t xml:space="preserve">100.00%</w:t>
            </w:r>
          </w:p>
        </w:tc>
      </w:tr>
    </w:tbl>
    <w:bookmarkEnd w:id="36"/>
    <w:bookmarkStart w:id="37" w:name="ghg-protocol-scope-categorization"/>
    <w:p>
      <w:pPr>
        <w:pStyle w:val="Heading3"/>
      </w:pPr>
      <w:r>
        <w:t xml:space="preserve">3.2. GHG Protocol Scope Categorization</w:t>
      </w:r>
    </w:p>
    <w:p>
      <w:pPr>
        <w:pStyle w:val="FirstParagraph"/>
      </w:pPr>
      <w:r>
        <w:t xml:space="preserve">Emissions are allocated according to the GHG Protocol Corporate and Product Standards.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Contribution to PCF (%)</w:t>
            </w:r>
          </w:p>
        </w:tc>
      </w:tr>
      <w:tr>
        <w:tc>
          <w:tcPr/>
          <w:p>
            <w:pPr>
              <w:pStyle w:val="Compact"/>
              <w:jc w:val="left"/>
            </w:pPr>
            <w:r>
              <w:t xml:space="preserve">Scope 1</w:t>
            </w:r>
          </w:p>
        </w:tc>
        <w:tc>
          <w:tcPr/>
          <w:p>
            <w:pPr>
              <w:pStyle w:val="Compact"/>
              <w:jc w:val="left"/>
            </w:pPr>
            <w:r>
              <w:t xml:space="preserve">Direct emissions from owned or controlled sources.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the generation of purchased energy.</w:t>
            </w:r>
          </w:p>
        </w:tc>
        <w:tc>
          <w:tcPr/>
          <w:p>
            <w:pPr>
              <w:pStyle w:val="Compact"/>
              <w:jc w:val="left"/>
            </w:pPr>
            <w:r>
              <w:t xml:space="preserve">2.16</w:t>
            </w:r>
          </w:p>
        </w:tc>
        <w:tc>
          <w:tcPr/>
          <w:p>
            <w:pPr>
              <w:pStyle w:val="Compact"/>
              <w:jc w:val="left"/>
            </w:pPr>
            <w:r>
              <w:t xml:space="preserve">4.31%</w:t>
            </w:r>
          </w:p>
        </w:tc>
      </w:tr>
      <w:tr>
        <w:tc>
          <w:tcPr/>
          <w:p>
            <w:pPr>
              <w:pStyle w:val="Compact"/>
              <w:jc w:val="left"/>
            </w:pPr>
            <w:r>
              <w:t xml:space="preserve">Scope 3 (Upstream)</w:t>
            </w:r>
          </w:p>
        </w:tc>
        <w:tc>
          <w:tcPr/>
          <w:p>
            <w:pPr>
              <w:pStyle w:val="Compact"/>
              <w:jc w:val="left"/>
            </w:pPr>
            <w:r>
              <w:t xml:space="preserve">Indirect emissions from upstream value chain activities (e.g., raw materials, upstream transport).</w:t>
            </w:r>
          </w:p>
        </w:tc>
        <w:tc>
          <w:tcPr/>
          <w:p>
            <w:pPr>
              <w:pStyle w:val="Compact"/>
              <w:jc w:val="left"/>
            </w:pPr>
            <w:r>
              <w:t xml:space="preserve">5.96</w:t>
            </w:r>
          </w:p>
        </w:tc>
        <w:tc>
          <w:tcPr/>
          <w:p>
            <w:pPr>
              <w:pStyle w:val="Compact"/>
              <w:jc w:val="left"/>
            </w:pPr>
            <w:r>
              <w:t xml:space="preserve">11.89%</w:t>
            </w:r>
          </w:p>
        </w:tc>
      </w:tr>
      <w:tr>
        <w:tc>
          <w:tcPr/>
          <w:p>
            <w:pPr>
              <w:pStyle w:val="Compact"/>
              <w:jc w:val="left"/>
            </w:pPr>
            <w:r>
              <w:t xml:space="preserve">Scope 3 (Downstream)</w:t>
            </w:r>
          </w:p>
        </w:tc>
        <w:tc>
          <w:tcPr/>
          <w:p>
            <w:pPr>
              <w:pStyle w:val="Compact"/>
              <w:jc w:val="left"/>
            </w:pPr>
            <w:r>
              <w:t xml:space="preserve">Indirect emissions from downstream value chain activities (e.g., product use, EoL, last-mile delivery).</w:t>
            </w:r>
          </w:p>
        </w:tc>
        <w:tc>
          <w:tcPr/>
          <w:p>
            <w:pPr>
              <w:pStyle w:val="Compact"/>
              <w:jc w:val="left"/>
            </w:pPr>
            <w:r>
              <w:t xml:space="preserve">42.01</w:t>
            </w:r>
          </w:p>
        </w:tc>
        <w:tc>
          <w:tcPr/>
          <w:p>
            <w:pPr>
              <w:pStyle w:val="Compact"/>
              <w:jc w:val="left"/>
            </w:pPr>
            <w:r>
              <w:t xml:space="preserve">83.80%</w:t>
            </w:r>
          </w:p>
        </w:tc>
      </w:tr>
      <w:tr>
        <w:tc>
          <w:tcPr>
            <w:gridSpan w:val="2"/>
          </w:tcPr>
          <w:p>
            <w:pPr>
              <w:pStyle w:val="Compact"/>
              <w:jc w:val="left"/>
            </w:pPr>
            <w:r>
              <w:rPr>
                <w:bCs/>
                <w:b/>
              </w:rPr>
              <w:t xml:space="preserve">Total PCF</w:t>
            </w:r>
          </w:p>
        </w:tc>
        <w:tc>
          <w:tcPr/>
          <w:p>
            <w:pPr>
              <w:pStyle w:val="Compact"/>
              <w:jc w:val="left"/>
            </w:pPr>
            <w:r>
              <w:rPr>
                <w:bCs/>
                <w:b/>
              </w:rPr>
              <w:t xml:space="preserve">50.13</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With comprehensive data for material acquisition, transport, use phase, and end-of-life, the Scope 3 reporting coverage is estimated to be well over 95%, aligning with 2026 requirements.</w:t>
      </w:r>
    </w:p>
    <w:bookmarkEnd w:id="37"/>
    <w:bookmarkStart w:id="38" w:name="application-of-2026-lsr-update"/>
    <w:p>
      <w:pPr>
        <w:pStyle w:val="Heading3"/>
      </w:pPr>
      <w:r>
        <w:t xml:space="preserve">3.3. Application of 2026 LSR Update</w:t>
      </w:r>
    </w:p>
    <w:p>
      <w:pPr>
        <w:pStyle w:val="FirstParagraph"/>
      </w:pPr>
      <w:r>
        <w:t xml:space="preserve">The Land Sector and Removals (LSR) Standard, effective from 2026, aims to provide robust accounting for land use and carbon removals. While the provided data for</w:t>
      </w:r>
      <w:r>
        <w:t xml:space="preserve"> </w:t>
      </w:r>
      <w:r>
        <w:rPr>
          <w:bCs/>
          <w:b/>
        </w:rPr>
        <w:t xml:space="preserve">xjgmgurlrd</w:t>
      </w:r>
      <w:r>
        <w:t xml:space="preserve"> </w:t>
      </w:r>
      <w:r>
        <w:t xml:space="preserve">does not contain explicit land-use change emission factors for specific raw materials, the principles of the LSR Standard have been considered in the methodological approach. A fully quantified LSR impact would require detailed data on land-use change associated with the sourcing of all bio-based materials and processes within the supply chain. This report acknowledges the importance of this standard and recommends further investigation into LSR-specific data for future analyses.</w:t>
      </w:r>
    </w:p>
    <w:p>
      <w:r>
        <w:pict>
          <v:rect style="width:0;height:1.5pt" o:hralign="center" o:hrstd="t" o:hr="t"/>
        </w:pict>
      </w:r>
    </w:p>
    <w:bookmarkEnd w:id="38"/>
    <w:bookmarkEnd w:id="39"/>
    <w:bookmarkStart w:id="43" w:name="Xdc30495d89d7b8937b43191367d548c834756ed"/>
    <w:p>
      <w:pPr>
        <w:pStyle w:val="Heading2"/>
      </w:pPr>
      <w:r>
        <w:t xml:space="preserve">4. Review and Reporting: Hotspots and Reliability</w:t>
      </w:r>
    </w:p>
    <w:bookmarkStart w:id="40" w:name="identification-of-emission-hotspots"/>
    <w:p>
      <w:pPr>
        <w:pStyle w:val="Heading3"/>
      </w:pPr>
      <w:r>
        <w:t xml:space="preserve">4.1. Identification of Emission Hotspots</w:t>
      </w:r>
    </w:p>
    <w:p>
      <w:pPr>
        <w:pStyle w:val="FirstParagraph"/>
      </w:pPr>
      <w:r>
        <w:t xml:space="preserve">The analysis clearly identifies the primary emission hotspots for</w:t>
      </w:r>
      <w:r>
        <w:t xml:space="preserve"> </w:t>
      </w:r>
      <w:r>
        <w:rPr>
          <w:bCs/>
          <w:b/>
        </w:rPr>
        <w:t xml:space="preserve">xjgmgurlrd</w:t>
      </w:r>
      <w:r>
        <w:t xml:space="preserve">:</w:t>
      </w:r>
    </w:p>
    <w:p>
      <w:pPr>
        <w:numPr>
          <w:ilvl w:val="0"/>
          <w:numId w:val="1010"/>
        </w:numPr>
        <w:pStyle w:val="Compact"/>
      </w:pPr>
      <w:r>
        <w:rPr>
          <w:bCs/>
          <w:b/>
        </w:rPr>
        <w:t xml:space="preserve">Use Phase:</w:t>
      </w:r>
      <w:r>
        <w:t xml:space="preserve"> </w:t>
      </w:r>
      <w:r>
        <w:t xml:space="preserve">With 42.00 kg CO2e, the energy consumption during the product\'s 7-year lifespan is the most significant contributor. This is primarily due to continuous electricity usage.</w:t>
      </w:r>
    </w:p>
    <w:p>
      <w:pPr>
        <w:numPr>
          <w:ilvl w:val="0"/>
          <w:numId w:val="1010"/>
        </w:numPr>
        <w:pStyle w:val="Compact"/>
      </w:pPr>
      <w:r>
        <w:rPr>
          <w:bCs/>
          <w:b/>
        </w:rPr>
        <w:t xml:space="preserve">Material Acquisition:</w:t>
      </w:r>
      <w:r>
        <w:t xml:space="preserve"> </w:t>
      </w:r>
      <w:r>
        <w:t xml:space="preserve">The production of raw materials, particularly metals and complex electronic components, accounts for 5.85 kg CO2e, highlighting the carbon intensity of upstream processes.</w:t>
      </w:r>
    </w:p>
    <w:p>
      <w:pPr>
        <w:numPr>
          <w:ilvl w:val="0"/>
          <w:numId w:val="1010"/>
        </w:numPr>
        <w:pStyle w:val="Compact"/>
      </w:pPr>
      <w:r>
        <w:rPr>
          <w:bCs/>
          <w:b/>
        </w:rPr>
        <w:t xml:space="preserve">Last-Mile Delivery:</w:t>
      </w:r>
      <w:r>
        <w:t xml:space="preserve"> </w:t>
      </w:r>
      <w:r>
        <w:t xml:space="preserve">While smaller than the use phase, the emissions from last-mile delivery (2.50 kg CO2e) indicate potential for optimization in logistics.</w:t>
      </w:r>
    </w:p>
    <w:bookmarkEnd w:id="40"/>
    <w:bookmarkStart w:id="41" w:name="data-reliability-and-limitations"/>
    <w:p>
      <w:pPr>
        <w:pStyle w:val="Heading3"/>
      </w:pPr>
      <w:r>
        <w:t xml:space="preserve">4.2. Data Reliability and Limitations</w:t>
      </w:r>
    </w:p>
    <w:p>
      <w:pPr>
        <w:pStyle w:val="FirstParagraph"/>
      </w:pPr>
      <w:r>
        <w:t xml:space="preserve">The reliability of this PCF analysis is high due to the use of specific primary data (Detailed BOM with \'Total Carbon\' values) and industry-standard secondary emission factors. However, some limitations exist:</w:t>
      </w:r>
    </w:p>
    <w:p>
      <w:pPr>
        <w:numPr>
          <w:ilvl w:val="0"/>
          <w:numId w:val="1011"/>
        </w:numPr>
        <w:pStyle w:val="Compact"/>
      </w:pPr>
      <w:r>
        <w:rPr>
          <w:bCs/>
          <w:b/>
        </w:rPr>
        <w:t xml:space="preserve">Illustrative Emission Factors:</w:t>
      </w:r>
      <w:r>
        <w:t xml:space="preserve"> </w:t>
      </w:r>
      <w:r>
        <w:t xml:space="preserve">Generic emission factors (e.g., for global average electricity mix in use phase, parcel van delivery) were used where product-specific or exact regional data was not provided. While representative, these may vary.</w:t>
      </w:r>
    </w:p>
    <w:p>
      <w:pPr>
        <w:numPr>
          <w:ilvl w:val="0"/>
          <w:numId w:val="1011"/>
        </w:numPr>
        <w:pStyle w:val="Compact"/>
      </w:pPr>
      <w:r>
        <w:rPr>
          <w:bCs/>
          <w:b/>
        </w:rPr>
        <w:t xml:space="preserve">LSR Standard Application:</w:t>
      </w:r>
      <w:r>
        <w:t xml:space="preserve"> </w:t>
      </w:r>
      <w:r>
        <w:t xml:space="preserve">Full quantification of the 2026 LSR Standard impacts would require more granular data on land-use associated with raw material extraction and processing.</w:t>
      </w:r>
    </w:p>
    <w:p>
      <w:pPr>
        <w:numPr>
          <w:ilvl w:val="0"/>
          <w:numId w:val="1011"/>
        </w:numPr>
        <w:pStyle w:val="Compact"/>
      </w:pPr>
      <w:r>
        <w:rPr>
          <w:bCs/>
          <w:b/>
        </w:rPr>
        <w:t xml:space="preserve">Packaging:</w:t>
      </w:r>
      <w:r>
        <w:t xml:space="preserve"> </w:t>
      </w:r>
      <w:r>
        <w:t xml:space="preserve">Packaging emissions were estimated as part of transport weight but not explicitly quantified through a separate BOM for packaging materials.</w:t>
      </w:r>
    </w:p>
    <w:bookmarkEnd w:id="41"/>
    <w:bookmarkStart w:id="42" w:name="recommendations-for-emission-reduction"/>
    <w:p>
      <w:pPr>
        <w:pStyle w:val="Heading3"/>
      </w:pPr>
      <w:r>
        <w:t xml:space="preserve">4.3. Recommendations for Emission Reduction</w:t>
      </w:r>
    </w:p>
    <w:p>
      <w:pPr>
        <w:numPr>
          <w:ilvl w:val="0"/>
          <w:numId w:val="1012"/>
        </w:numPr>
        <w:pStyle w:val="Compact"/>
      </w:pPr>
      <w:r>
        <w:rPr>
          <w:bCs/>
          <w:b/>
        </w:rPr>
        <w:t xml:space="preserve">Optimize Use Phase Efficiency:</w:t>
      </w:r>
      <w:r>
        <w:t xml:space="preserve"> </w:t>
      </w:r>
      <w:r>
        <w:t xml:space="preserve">Focus on improving the energy efficiency of</w:t>
      </w:r>
      <w:r>
        <w:t xml:space="preserve"> </w:t>
      </w:r>
      <w:r>
        <w:rPr>
          <w:bCs/>
          <w:b/>
        </w:rPr>
        <w:t xml:space="preserve">xjgmgurlrd</w:t>
      </w:r>
      <w:r>
        <w:t xml:space="preserve"> </w:t>
      </w:r>
      <w:r>
        <w:t xml:space="preserve">during its operation to reduce the largest hotspot. This could involve design changes for lower power consumption or promoting renewable energy use by end-users.</w:t>
      </w:r>
    </w:p>
    <w:p>
      <w:pPr>
        <w:numPr>
          <w:ilvl w:val="0"/>
          <w:numId w:val="1012"/>
        </w:numPr>
        <w:pStyle w:val="Compact"/>
      </w:pPr>
      <w:r>
        <w:rPr>
          <w:bCs/>
          <w:b/>
        </w:rPr>
        <w:t xml:space="preserve">Sustainable Sourcing:</w:t>
      </w:r>
      <w:r>
        <w:t xml:space="preserve"> </w:t>
      </w:r>
      <w:r>
        <w:t xml:space="preserve">Investigate opportunities to source lower-carbon materials or work with suppliers who utilize renewable energy in their production processes, particularly for high-impact components like Aluminium and PCBs.</w:t>
      </w:r>
    </w:p>
    <w:p>
      <w:pPr>
        <w:numPr>
          <w:ilvl w:val="0"/>
          <w:numId w:val="1012"/>
        </w:numPr>
        <w:pStyle w:val="Compact"/>
      </w:pPr>
      <w:r>
        <w:rPr>
          <w:bCs/>
          <w:b/>
        </w:rPr>
        <w:t xml:space="preserve">Logistics Optimization:</w:t>
      </w:r>
      <w:r>
        <w:t xml:space="preserve"> </w:t>
      </w:r>
      <w:r>
        <w:t xml:space="preserve">Explore more efficient last-mile delivery options, such as electric vehicles or optimized route planning, to reduce transport emissions.</w:t>
      </w:r>
    </w:p>
    <w:p>
      <w:pPr>
        <w:numPr>
          <w:ilvl w:val="0"/>
          <w:numId w:val="1012"/>
        </w:numPr>
        <w:pStyle w:val="Compact"/>
      </w:pPr>
      <w:r>
        <w:rPr>
          <w:bCs/>
          <w:b/>
        </w:rPr>
        <w:t xml:space="preserve">Enhance Circularity:</w:t>
      </w:r>
      <w:r>
        <w:t xml:space="preserve"> </w:t>
      </w:r>
      <w:r>
        <w:t xml:space="preserve">Further expand circular economy initiatives beyond existing take-back programs, potentially exploring material reuse and closed-loop systems for key components to maximize EoL benefits.</w:t>
      </w:r>
    </w:p>
    <w:p>
      <w:r>
        <w:pict>
          <v:rect style="width:0;height:1.5pt" o:hralign="center" o:hrstd="t" o:hr="t"/>
        </w:pict>
      </w:r>
    </w:p>
    <w:bookmarkEnd w:id="42"/>
    <w:bookmarkEnd w:id="43"/>
    <w:bookmarkStart w:id="44" w:name="conclusion"/>
    <w:p>
      <w:pPr>
        <w:pStyle w:val="Heading2"/>
      </w:pPr>
      <w:r>
        <w:t xml:space="preserve">Conclusion</w:t>
      </w:r>
    </w:p>
    <w:p>
      <w:pPr>
        <w:pStyle w:val="FirstParagraph"/>
      </w:pPr>
      <w:r>
        <w:t xml:space="preserve">This Product Carbon Footprint analysis provides</w:t>
      </w:r>
      <w:r>
        <w:t xml:space="preserve"> </w:t>
      </w:r>
      <w:r>
        <w:rPr>
          <w:bCs/>
          <w:b/>
        </w:rPr>
        <w:t xml:space="preserve">qsndigrorp</w:t>
      </w:r>
      <w:r>
        <w:t xml:space="preserve"> </w:t>
      </w:r>
      <w:r>
        <w:t xml:space="preserve">with a clear understanding of the environmental impact of</w:t>
      </w:r>
      <w:r>
        <w:t xml:space="preserve"> </w:t>
      </w:r>
      <w:r>
        <w:rPr>
          <w:bCs/>
          <w:b/>
        </w:rPr>
        <w:t xml:space="preserve">xjgmgurlrd</w:t>
      </w:r>
      <w:r>
        <w:t xml:space="preserve"> </w:t>
      </w:r>
      <w:r>
        <w:t xml:space="preserve">across its lifecycle. The insights gained can inform strategic decisions towards reducing the product\'s carbon footprint, enhancing sustainability performance, and meeting evolving regulatory requirements like the 2026 GHG Protocol LSR update. Continuous monitoring and granular data collection are recommended for further improvements and more precise reporting.</w:t>
      </w:r>
    </w:p>
    <w:p>
      <w:pPr>
        <w:pStyle w:val="BodyText"/>
      </w:pPr>
      <w:r>
        <w:t xml:space="preserve">Confidential - Internal Use Only | Page X of Y</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xjgmgurlrd</dc:title>
  <dc:creator/>
  <dc:description>Detailed Product Carbon Footprint (PCF) analysis report for xjgmgurlrd by qsndigrorp, adhering to GHG Protocol standards and 2026 LSR updates, performed by stzhsuhrud.</dc:description>
  <dc:language>en</dc:language>
  <cp:keywords/>
  <dcterms:created xsi:type="dcterms:W3CDTF">2026-05-30T23:51:44Z</dcterms:created>
  <dcterms:modified xsi:type="dcterms:W3CDTF">2026-05-30T23:51:44Z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