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xixjuwsqwv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xixjuwsqwv</w:t>
      </w:r>
    </w:p>
    <w:p>
      <w:pPr>
        <w:pStyle w:val="BodyText"/>
      </w:pPr>
      <w:r>
        <w:t xml:space="preserve">Protocol Data (Accounting Standard): GHG Protocol</w:t>
      </w:r>
    </w:p>
    <w:p>
      <w:pPr>
        <w:pStyle w:val="BodyText"/>
      </w:pPr>
      <w:r>
        <w:t xml:space="preserve">Name of the Company: tpenrprtin</w:t>
      </w:r>
    </w:p>
    <w:p>
      <w:pPr>
        <w:pStyle w:val="BodyText"/>
      </w:pPr>
      <w:r>
        <w:t xml:space="preserve">Senior Sustainability Consultant: mxfttlvnng</w:t>
      </w:r>
    </w:p>
    <w:p>
      <w:pPr>
        <w:pStyle w:val="BodyText"/>
      </w:pPr>
      <w:r>
        <w:t xml:space="preserve">This report is generated based on available data and industry standards. While efforts have been made to ensure accuracy, the actual environmental impact may vary depending on specific operational conditions and evolving data quality.</w:t>
      </w:r>
    </w:p>
    <w:bookmarkEnd w:id="20"/>
    <w:bookmarkStart w:id="21" w:name="X93dbf0cc0733bddb6cc21b3b8c3d569e8eb8260"/>
    <w:p>
      <w:pPr>
        <w:pStyle w:val="Heading1"/>
      </w:pPr>
      <w:r>
        <w:t xml:space="preserve">Product Carbon Footprint Analysis for xixjuwsqwv</w:t>
      </w:r>
    </w:p>
    <w:p>
      <w:pPr>
        <w:pStyle w:val="FirstParagraph"/>
      </w:pPr>
      <w:r>
        <w:t xml:space="preserve">Generated Date: May 18, 2026</w:t>
      </w:r>
    </w:p>
    <w:p>
      <w:pPr>
        <w:pStyle w:val="BodyText"/>
      </w:pPr>
      <w:r>
        <w:t xml:space="preserve">Senior Sustainability Consultant: mxfttlvnng</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xixjuwsqwv</w:t>
      </w:r>
      <w:r>
        <w:t xml:space="preserve"> </w:t>
      </w:r>
      <w:r>
        <w:t xml:space="preserve">manufactured by</w:t>
      </w:r>
      <w:r>
        <w:t xml:space="preserve"> </w:t>
      </w:r>
      <w:r>
        <w:rPr>
          <w:bCs/>
          <w:b/>
        </w:rPr>
        <w:t xml:space="preserve">tpenrprtin</w:t>
      </w:r>
      <w:r>
        <w:t xml:space="preserve">. The analysis adheres to the Greenhouse Gas (GHG) Protocol, including consideration for the upcoming 2026 Land Sector and Removals (LSR) Standard and stringent Scope 3 compliance requirements. The primary objective is to quantify the greenhouse gas emissions across the entire lifecycle of xixjuwsqwv, identifying key emission hotspots and providing a foundational understanding for targeted emission reduction strategies. The assessment focuses on a cradle-to-grave approach, encompassing material acquisition, manufacturing, transportation, use-phase, and end-of-life scenarios. All calculations are performed using industry-standard emission factors and the specific data provided by tpenrprtin.</w:t>
      </w:r>
    </w:p>
    <w:bookmarkEnd w:id="22"/>
    <w:p>
      <w:r>
        <w:pict>
          <v:rect style="width:0;height:1.5pt" o:hralign="center" o:hrstd="t" o:hr="t"/>
        </w:pict>
      </w:r>
    </w:p>
    <w:bookmarkStart w:id="24" w:name="scope-definition"/>
    <w:p>
      <w:pPr>
        <w:pStyle w:val="Heading2"/>
      </w:pPr>
      <w:r>
        <w:t xml:space="preserve">1. Scope Definition</w:t>
      </w:r>
    </w:p>
    <w:p>
      <w:pPr>
        <w:pStyle w:val="FirstParagraph"/>
      </w:pPr>
      <w:r>
        <w:t xml:space="preserve">This Product Carbon Footprint (PCF) analysis for</w:t>
      </w:r>
      <w:r>
        <w:t xml:space="preserve"> </w:t>
      </w:r>
      <w:r>
        <w:rPr>
          <w:bCs/>
          <w:b/>
        </w:rPr>
        <w:t xml:space="preserve">xixjuwsqwv</w:t>
      </w:r>
      <w:r>
        <w:t xml:space="preserve"> </w:t>
      </w:r>
      <w:r>
        <w:t xml:space="preserve">is defined by the following parameters:</w:t>
      </w:r>
    </w:p>
    <w:p>
      <w:pPr>
        <w:numPr>
          <w:ilvl w:val="0"/>
          <w:numId w:val="1001"/>
        </w:numPr>
        <w:pStyle w:val="Compact"/>
      </w:pPr>
      <w:r>
        <w:rPr>
          <w:bCs/>
          <w:b/>
        </w:rPr>
        <w:t xml:space="preserve">Functional Unit:</w:t>
      </w:r>
      <w:r>
        <w:t xml:space="preserve"> </w:t>
      </w:r>
      <w:r>
        <w:t xml:space="preserve">1.0 unit of xixjuwsqwv. This serves as the reference unit to which all environmental impacts are normalized.</w:t>
      </w:r>
    </w:p>
    <w:p>
      <w:pPr>
        <w:numPr>
          <w:ilvl w:val="0"/>
          <w:numId w:val="1001"/>
        </w:numPr>
        <w:pStyle w:val="Compact"/>
      </w:pPr>
      <w:r>
        <w:rPr>
          <w:bCs/>
          <w:b/>
        </w:rPr>
        <w:t xml:space="preserve">System Boundary:</w:t>
      </w:r>
      <w:r>
        <w:t xml:space="preserve"> </w:t>
      </w:r>
      <w:r>
        <w:t xml:space="preserve">Cradle-to-Grave. While the primary production focus is "factory_gate" in China, the analysis extends to cover all lifecycle stages, including upstream raw material extraction, manufacturing, all transportation links, the product use phase, and end-of-life treatment.</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materials and components, and global distribution.</w:t>
      </w:r>
    </w:p>
    <w:p>
      <w:pPr>
        <w:numPr>
          <w:ilvl w:val="0"/>
          <w:numId w:val="1001"/>
        </w:numPr>
        <w:pStyle w:val="Compact"/>
      </w:pPr>
      <w:r>
        <w:rPr>
          <w:bCs/>
          <w:b/>
        </w:rPr>
        <w:t xml:space="preserve">Accounting Standard:</w:t>
      </w:r>
      <w:r>
        <w:t xml:space="preserve"> </w:t>
      </w:r>
      <w:r>
        <w:t xml:space="preserve">The Greenhouse Gas (GHG) Protocol Product Standard is the primary framework for this analysis, ensuring consistency and comparability of results. Emissions are categorized into Scope 1 (direct), Scope 2 (purchased energy), and Scope 3 (value chain) in accordance with GHG Protocol requirements.</w:t>
      </w:r>
    </w:p>
    <w:p>
      <w:pPr>
        <w:numPr>
          <w:ilvl w:val="0"/>
          <w:numId w:val="1001"/>
        </w:numPr>
        <w:pStyle w:val="Compact"/>
      </w:pPr>
      <w:r>
        <w:rPr>
          <w:bCs/>
          <w:b/>
        </w:rPr>
        <w:t xml:space="preserve">Allocation:</w:t>
      </w:r>
      <w:r>
        <w:t xml:space="preserve"> </w:t>
      </w:r>
      <w:r>
        <w:t xml:space="preserve">For multi-product systems or co-products, economic allocation is typically applied. For this single product PCF, direct attribution of emissions to the functional unit is used.</w:t>
      </w:r>
    </w:p>
    <w:bookmarkStart w:id="23" w:name="ghg-protocol-requirements-2026-updates"/>
    <w:p>
      <w:pPr>
        <w:pStyle w:val="Heading3"/>
      </w:pPr>
      <w:r>
        <w:t xml:space="preserve">GHG Protocol Requirements (2026 Updates)</w:t>
      </w:r>
    </w:p>
    <w:p>
      <w:pPr>
        <w:numPr>
          <w:ilvl w:val="0"/>
          <w:numId w:val="1002"/>
        </w:numPr>
        <w:pStyle w:val="Compact"/>
      </w:pPr>
      <w:r>
        <w:rPr>
          <w:bCs/>
          <w:b/>
        </w:rPr>
        <w:t xml:space="preserve">2026 LSR Update:</w:t>
      </w:r>
      <w:r>
        <w:t xml:space="preserve"> </w:t>
      </w:r>
      <w:r>
        <w:t xml:space="preserve">The Land Sector and Removals (LSR) Standard, effective January 1, 2027, has been considered. As the primary materials in the provided Bill of Materials are industrial (metals, plastics, electronics), direct land-use change or significant biogenic carbon uptake/emissions are not identified as major factors in this product\'s lifecycle. However, the framework\'s principles for accounting land management impacts and removals are acknowledged for future detailed assessments if relevant data becomes available.</w:t>
      </w:r>
    </w:p>
    <w:p>
      <w:pPr>
        <w:numPr>
          <w:ilvl w:val="0"/>
          <w:numId w:val="1002"/>
        </w:numPr>
        <w:pStyle w:val="Compact"/>
      </w:pPr>
      <w:r>
        <w:rPr>
          <w:bCs/>
          <w:b/>
        </w:rPr>
        <w:t xml:space="preserve">Scope 3 Compliance:</w:t>
      </w:r>
      <w:r>
        <w:t xml:space="preserve"> </w:t>
      </w:r>
      <w:r>
        <w:t xml:space="preserve">As per proposed 2026 requirements, this report aims for at least 95% coverage of relevant Scope 3 emissions, with any exclusions being quantified, disclosed, and justified.</w:t>
      </w:r>
    </w:p>
    <w:bookmarkEnd w:id="23"/>
    <w:bookmarkEnd w:id="24"/>
    <w:p>
      <w:r>
        <w:pict>
          <v:rect style="width:0;height:1.5pt" o:hralign="center" o:hrstd="t" o:hr="t"/>
        </w:pict>
      </w:r>
    </w:p>
    <w:bookmarkStart w:id="27" w:name="X07cf0ea829f60a4f8fa47c00f72a11793fbe483"/>
    <w:p>
      <w:pPr>
        <w:pStyle w:val="Heading2"/>
      </w:pPr>
      <w:r>
        <w:t xml:space="preserve">2. Lifecycle Mapping (LCI Inventory Stages) &amp; 3. Data Collection</w:t>
      </w:r>
    </w:p>
    <w:p>
      <w:pPr>
        <w:pStyle w:val="FirstParagraph"/>
      </w:pPr>
      <w:r>
        <w:t xml:space="preserve">The lifecycle of xixjuwsqwv has been mapped into the following stages, with primary and secondary data collected as specified:</w:t>
      </w:r>
    </w:p>
    <w:bookmarkStart w:id="25" w:name="X46a1893b97bd5c7f6d1ae5e27117bc04b24969e"/>
    <w:p>
      <w:pPr>
        <w:pStyle w:val="Heading3"/>
      </w:pPr>
      <w:r>
        <w:t xml:space="preserve">Material Acquisition &amp; Production (Upstream - Scope 3, Category 1)</w:t>
      </w:r>
    </w:p>
    <w:p>
      <w:pPr>
        <w:pStyle w:val="FirstParagraph"/>
      </w:pPr>
      <w:r>
        <w:t xml:space="preserve">The detailed Bill of Materials (BOM) for xixjuwsqwv (provided as</w:t>
      </w:r>
      <w:r>
        <w:t xml:space="preserve"> </w:t>
      </w:r>
      <w:r>
        <w:rPr>
          <w:rStyle w:val="VerbatimChar"/>
        </w:rPr>
        <w:t xml:space="preserve">fwoxiyte</w:t>
      </w:r>
      <w:r>
        <w:t xml:space="preserve">) is crucial for an accurate assessment of material impacts. The BOM data follows the format: ID, Description, Category, Process, Qty, Unit, Emission Factor, Total Carbon. The specific quantities and emission factors from this BOM are utilized for calculation.</w:t>
      </w:r>
    </w:p>
    <w:bookmarkEnd w:id="25"/>
    <w:bookmarkStart w:id="26" w:name="X6ccf9c4de0ff9dcee63764f76cd254f695da3ea"/>
    <w:p>
      <w:pPr>
        <w:pStyle w:val="Heading3"/>
      </w:pPr>
      <w:r>
        <w:t xml:space="preserve">Detailed Bill of Materials (BOM) for xixjuwsqwv</w:t>
      </w:r>
    </w:p>
    <w:p>
      <w:pPr>
        <w:pStyle w:val="FirstParagraph"/>
      </w:pPr>
      <w:r>
        <w:t xml:space="preserve">ID</w:t>
      </w:r>
    </w:p>
    <w:bookmarkEnd w:id="26"/>
    <w:bookmarkEnd w:id="27"/>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Calculated Carbon (kg CO2e)</w:t>
      </w:r>
    </w:p>
    <w:p>
      <w:pPr>
        <w:pStyle w:val="BodyText"/>
      </w:pPr>
      <w:r>
        <w:t xml:space="preserve">Total Material Emissions:</w:t>
      </w:r>
    </w:p>
    <w:p>
      <w:pPr>
        <w:pStyle w:val="BodyText"/>
      </w:pPr>
      <w:r>
        <w:t xml:space="preserve">kg CO2e</w:t>
      </w:r>
    </w:p>
    <w:p>
      <w:pPr>
        <w:pStyle w:val="BodyText"/>
      </w:pPr>
      <w:r>
        <w:rPr>
          <w:iCs/>
          <w:i/>
        </w:rPr>
        <w:t xml:space="preserve">Note: For "Semiconductor Chip" units, an assumed weight of 0.01 kg per piece has been used to contribute to the total product weight for transport and end-of-life calculations, due to the generic nature of the placeholder data.</w:t>
      </w:r>
    </w:p>
    <w:bookmarkStart w:id="28" w:name="production-phase-scope-1-2"/>
    <w:p>
      <w:pPr>
        <w:pStyle w:val="Heading3"/>
      </w:pPr>
      <w:r>
        <w:t xml:space="preserve">Production Phase (Scope 1 &amp; 2)</w:t>
      </w:r>
    </w:p>
    <w:p>
      <w:pPr>
        <w:numPr>
          <w:ilvl w:val="0"/>
          <w:numId w:val="1003"/>
        </w:numPr>
        <w:pStyle w:val="Compact"/>
      </w:pPr>
      <w:r>
        <w:rPr>
          <w:bCs/>
          <w:b/>
        </w:rPr>
        <w:t xml:space="preserve">Energy Intensity:</w:t>
      </w:r>
      <w:r>
        <w:t xml:space="preserve"> </w:t>
      </w:r>
      <w:r>
        <w:rPr>
          <w:rStyle w:val="VerbatimChar"/>
        </w:rPr>
        <w:t xml:space="preserve">hirtitzxwp</w:t>
      </w:r>
      <w:r>
        <w:t xml:space="preserve"> </w:t>
      </w:r>
      <w:r>
        <w:t xml:space="preserve">(15 kWh/unit).</w:t>
      </w:r>
    </w:p>
    <w:p>
      <w:pPr>
        <w:numPr>
          <w:ilvl w:val="0"/>
          <w:numId w:val="1003"/>
        </w:numPr>
        <w:pStyle w:val="Compact"/>
      </w:pPr>
      <w:r>
        <w:rPr>
          <w:bCs/>
          <w:b/>
        </w:rPr>
        <w:t xml:space="preserve">Renewable Energy Usage:</w:t>
      </w:r>
      <w:r>
        <w:t xml:space="preserve"> </w:t>
      </w:r>
      <w:r>
        <w:rPr>
          <w:rStyle w:val="VerbatimChar"/>
        </w:rPr>
        <w:t xml:space="preserve">sfknukyonu</w:t>
      </w:r>
      <w:r>
        <w:t xml:space="preserve"> </w:t>
      </w:r>
      <w:r>
        <w:t xml:space="preserve">(30%).</w:t>
      </w:r>
    </w:p>
    <w:p>
      <w:pPr>
        <w:numPr>
          <w:ilvl w:val="0"/>
          <w:numId w:val="1003"/>
        </w:numPr>
        <w:pStyle w:val="Compact"/>
      </w:pPr>
      <w:r>
        <w:rPr>
          <w:bCs/>
          <w:b/>
        </w:rPr>
        <w:t xml:space="preserve">China Grid Electricity Emission Factor:</w:t>
      </w:r>
      <w:r>
        <w:t xml:space="preserve"> </w:t>
      </w:r>
      <w:r>
        <w:t xml:space="preserve">0.6205 kg CO2e/kWh (national average for 2023).</w:t>
      </w:r>
    </w:p>
    <w:p>
      <w:pPr>
        <w:numPr>
          <w:ilvl w:val="0"/>
          <w:numId w:val="1003"/>
        </w:numPr>
        <w:pStyle w:val="Compact"/>
      </w:pPr>
      <w:r>
        <w:rPr>
          <w:bCs/>
          <w:b/>
        </w:rPr>
        <w:t xml:space="preserve">Renewable Energy Emission Factor:</w:t>
      </w:r>
      <w:r>
        <w:t xml:space="preserve"> </w:t>
      </w:r>
      <w:r>
        <w:t xml:space="preserve">0 kg CO2e/kWh (at point of use for direct emissions, acknowledging upstream impacts if applicable).</w:t>
      </w:r>
    </w:p>
    <w:bookmarkEnd w:id="28"/>
    <w:bookmarkStart w:id="29" w:name="X5a94f9fff61160d5723b01d412105dfc1259cab"/>
    <w:p>
      <w:pPr>
        <w:pStyle w:val="Heading3"/>
      </w:pPr>
      <w:r>
        <w:t xml:space="preserve">Transportation (Upstream &amp; Downstream - Scope 3, Categories 4 &amp; 9)</w:t>
      </w:r>
    </w:p>
    <w:p>
      <w:pPr>
        <w:numPr>
          <w:ilvl w:val="0"/>
          <w:numId w:val="1004"/>
        </w:numPr>
        <w:pStyle w:val="Compact"/>
      </w:pPr>
      <w:r>
        <w:rPr>
          <w:bCs/>
          <w:b/>
        </w:rPr>
        <w:t xml:space="preserve">Transport Mode:</w:t>
      </w:r>
    </w:p>
    <w:p>
      <w:pPr>
        <w:numPr>
          <w:ilvl w:val="1"/>
          <w:numId w:val="1005"/>
        </w:numPr>
        <w:pStyle w:val="Compact"/>
      </w:pPr>
      <w:r>
        <w:t xml:space="preserve">Primary Upstream (Europe to China): Sea Freight (assumed for efficiency over long distances).</w:t>
      </w:r>
    </w:p>
    <w:p>
      <w:pPr>
        <w:numPr>
          <w:ilvl w:val="1"/>
          <w:numId w:val="1005"/>
        </w:numPr>
        <w:pStyle w:val="Compact"/>
      </w:pPr>
      <w:r>
        <w:t xml:space="preserve">Internal Distribution (within Europe and China): Road Freight.</w:t>
      </w:r>
    </w:p>
    <w:p>
      <w:pPr>
        <w:numPr>
          <w:ilvl w:val="1"/>
          <w:numId w:val="1005"/>
        </w:numPr>
        <w:pStyle w:val="Compact"/>
      </w:pPr>
      <w:r>
        <w:t xml:space="preserve">Last-Mile Delivery (</w:t>
      </w:r>
      <w:r>
        <w:rPr>
          <w:rStyle w:val="VerbatimChar"/>
        </w:rPr>
        <w:t xml:space="preserve">Delivery Type</w:t>
      </w:r>
      <w:r>
        <w:t xml:space="preserve">): Road Freight.</w:t>
      </w:r>
    </w:p>
    <w:p>
      <w:pPr>
        <w:numPr>
          <w:ilvl w:val="0"/>
          <w:numId w:val="1004"/>
        </w:numPr>
        <w:pStyle w:val="Compact"/>
      </w:pPr>
      <w:r>
        <w:rPr>
          <w:bCs/>
          <w:b/>
        </w:rPr>
        <w:t xml:space="preserve">Transport Distance (</w:t>
      </w:r>
      <w:r>
        <w:rPr>
          <w:rStyle w:val="VerbatimChar"/>
          <w:bCs/>
          <w:b/>
        </w:rPr>
        <w:t xml:space="preserve">onzuptxrlu</w:t>
      </w:r>
      <w:r>
        <w:rPr>
          <w:bCs/>
          <w:b/>
        </w:rPr>
        <w:t xml:space="preserve">):</w:t>
      </w:r>
    </w:p>
    <w:p>
      <w:pPr>
        <w:numPr>
          <w:ilvl w:val="1"/>
          <w:numId w:val="1006"/>
        </w:numPr>
        <w:pStyle w:val="Compact"/>
      </w:pPr>
      <w:r>
        <w:t xml:space="preserve">Long-haul Sea Freight (Europe to China): 10,000 km.</w:t>
      </w:r>
    </w:p>
    <w:p>
      <w:pPr>
        <w:numPr>
          <w:ilvl w:val="1"/>
          <w:numId w:val="1006"/>
        </w:numPr>
        <w:pStyle w:val="Compact"/>
      </w:pPr>
      <w:r>
        <w:t xml:space="preserve">Internal Road Freight (aggregated average for upstream/downstream within Europe/China): 500 km.</w:t>
      </w:r>
    </w:p>
    <w:p>
      <w:pPr>
        <w:numPr>
          <w:ilvl w:val="1"/>
          <w:numId w:val="1006"/>
        </w:numPr>
        <w:pStyle w:val="Compact"/>
      </w:pPr>
      <w:r>
        <w:t xml:space="preserve">Last-Mile Road Delivery: 50 km.</w:t>
      </w:r>
    </w:p>
    <w:p>
      <w:pPr>
        <w:numPr>
          <w:ilvl w:val="0"/>
          <w:numId w:val="1004"/>
        </w:numPr>
        <w:pStyle w:val="Compact"/>
      </w:pPr>
      <w:r>
        <w:rPr>
          <w:bCs/>
          <w:b/>
        </w:rPr>
        <w:t xml:space="preserve">Emission Factors:</w:t>
      </w:r>
    </w:p>
    <w:p>
      <w:pPr>
        <w:numPr>
          <w:ilvl w:val="1"/>
          <w:numId w:val="1007"/>
        </w:numPr>
        <w:pStyle w:val="Compact"/>
      </w:pPr>
      <w:r>
        <w:t xml:space="preserve">Sea Freight: 0.016 kg CO2e/tonne-km.</w:t>
      </w:r>
    </w:p>
    <w:p>
      <w:pPr>
        <w:numPr>
          <w:ilvl w:val="1"/>
          <w:numId w:val="1007"/>
        </w:numPr>
        <w:pStyle w:val="Compact"/>
      </w:pPr>
      <w:r>
        <w:t xml:space="preserve">Road Freight: 0.09 kg CO2e/tonne-km (industry average).</w:t>
      </w:r>
    </w:p>
    <w:bookmarkEnd w:id="29"/>
    <w:bookmarkStart w:id="30" w:name="X01fffecb4d51cf9638741502492363d57dc681a"/>
    <w:p>
      <w:pPr>
        <w:pStyle w:val="Heading3"/>
      </w:pPr>
      <w:r>
        <w:t xml:space="preserve">Use Phase (Downstream - Scope 3, Category 11)</w:t>
      </w:r>
    </w:p>
    <w:p>
      <w:pPr>
        <w:numPr>
          <w:ilvl w:val="0"/>
          <w:numId w:val="1008"/>
        </w:numPr>
        <w:pStyle w:val="Compact"/>
      </w:pPr>
      <w:r>
        <w:rPr>
          <w:bCs/>
          <w:b/>
        </w:rPr>
        <w:t xml:space="preserve">Product Lifespan (</w:t>
      </w:r>
      <w:r>
        <w:rPr>
          <w:rStyle w:val="VerbatimChar"/>
          <w:bCs/>
          <w:b/>
        </w:rPr>
        <w:t xml:space="preserve">seqiirpvmx</w:t>
      </w:r>
      <w:r>
        <w:rPr>
          <w:bCs/>
          <w:b/>
        </w:rPr>
        <w:t xml:space="preserve">):</w:t>
      </w:r>
      <w:r>
        <w:t xml:space="preserve"> </w:t>
      </w:r>
      <w:r>
        <w:t xml:space="preserve">5 years.</w:t>
      </w:r>
    </w:p>
    <w:p>
      <w:pPr>
        <w:numPr>
          <w:ilvl w:val="0"/>
          <w:numId w:val="1008"/>
        </w:numPr>
        <w:pStyle w:val="Compact"/>
      </w:pPr>
      <w:r>
        <w:rPr>
          <w:bCs/>
          <w:b/>
        </w:rPr>
        <w:t xml:space="preserve">Energy Consumption in Use (</w:t>
      </w:r>
      <w:r>
        <w:rPr>
          <w:rStyle w:val="VerbatimChar"/>
          <w:bCs/>
          <w:b/>
        </w:rPr>
        <w:t xml:space="preserve">ghjmxisgnq</w:t>
      </w:r>
      <w:r>
        <w:rPr>
          <w:bCs/>
          <w:b/>
        </w:rPr>
        <w:t xml:space="preserve">):</w:t>
      </w:r>
      <w:r>
        <w:t xml:space="preserve"> </w:t>
      </w:r>
      <w:r>
        <w:t xml:space="preserve">50 kWh/year.</w:t>
      </w:r>
    </w:p>
    <w:p>
      <w:pPr>
        <w:numPr>
          <w:ilvl w:val="0"/>
          <w:numId w:val="1008"/>
        </w:numPr>
        <w:pStyle w:val="Compact"/>
      </w:pPr>
      <w:r>
        <w:rPr>
          <w:bCs/>
          <w:b/>
        </w:rPr>
        <w:t xml:space="preserve">Electricity Emission Factor (China):</w:t>
      </w:r>
      <w:r>
        <w:t xml:space="preserve"> </w:t>
      </w:r>
      <w:r>
        <w:t xml:space="preserve">0.6205 kg CO2e/kWh.</w:t>
      </w:r>
    </w:p>
    <w:bookmarkEnd w:id="30"/>
    <w:bookmarkStart w:id="31" w:name="X7f89d00135b2cb99d8b0d40c8751bd2d45ee8b9"/>
    <w:p>
      <w:pPr>
        <w:pStyle w:val="Heading3"/>
      </w:pPr>
      <w:r>
        <w:t xml:space="preserve">End-of-Life (EoL) (Downstream - Scope 3, Category 12)</w:t>
      </w:r>
    </w:p>
    <w:p>
      <w:pPr>
        <w:numPr>
          <w:ilvl w:val="0"/>
          <w:numId w:val="1009"/>
        </w:numPr>
        <w:pStyle w:val="Compact"/>
      </w:pPr>
      <w:r>
        <w:rPr>
          <w:bCs/>
          <w:b/>
        </w:rPr>
        <w:t xml:space="preserve">Recyclability Percentage (</w:t>
      </w:r>
      <w:r>
        <w:rPr>
          <w:rStyle w:val="VerbatimChar"/>
          <w:bCs/>
          <w:b/>
        </w:rPr>
        <w:t xml:space="preserve">yopvwmwlzt</w:t>
      </w:r>
      <w:r>
        <w:rPr>
          <w:bCs/>
          <w:b/>
        </w:rPr>
        <w:t xml:space="preserve">):</w:t>
      </w:r>
      <w:r>
        <w:t xml:space="preserve"> </w:t>
      </w:r>
      <w:r>
        <w:t xml:space="preserve">60%.</w:t>
      </w:r>
    </w:p>
    <w:p>
      <w:pPr>
        <w:numPr>
          <w:ilvl w:val="0"/>
          <w:numId w:val="1009"/>
        </w:numPr>
        <w:pStyle w:val="Compact"/>
      </w:pPr>
      <w:r>
        <w:rPr>
          <w:bCs/>
          <w:b/>
        </w:rPr>
        <w:t xml:space="preserve">Circular/Take-back Programs (</w:t>
      </w:r>
      <w:r>
        <w:rPr>
          <w:rStyle w:val="VerbatimChar"/>
          <w:bCs/>
          <w:b/>
        </w:rPr>
        <w:t xml:space="preserve">ejzvykglxm</w:t>
      </w:r>
      <w:r>
        <w:rPr>
          <w:bCs/>
          <w:b/>
        </w:rPr>
        <w:t xml:space="preserve">):</w:t>
      </w:r>
      <w:r>
        <w:t xml:space="preserve"> </w:t>
      </w:r>
      <w:r>
        <w:t xml:space="preserve">Product Take-back and Refurbishment Program.</w:t>
      </w:r>
    </w:p>
    <w:p>
      <w:pPr>
        <w:numPr>
          <w:ilvl w:val="0"/>
          <w:numId w:val="1009"/>
        </w:numPr>
        <w:pStyle w:val="Compact"/>
      </w:pPr>
      <w:r>
        <w:rPr>
          <w:bCs/>
          <w:b/>
        </w:rPr>
        <w:t xml:space="preserve">Emission Factors:</w:t>
      </w:r>
    </w:p>
    <w:p>
      <w:pPr>
        <w:numPr>
          <w:ilvl w:val="1"/>
          <w:numId w:val="1010"/>
        </w:numPr>
        <w:pStyle w:val="Compact"/>
      </w:pPr>
      <w:r>
        <w:t xml:space="preserve">Waste to Landfill (general): 0.2 kg CO2e/kg.</w:t>
      </w:r>
    </w:p>
    <w:p>
      <w:pPr>
        <w:numPr>
          <w:ilvl w:val="1"/>
          <w:numId w:val="1010"/>
        </w:numPr>
        <w:pStyle w:val="Compact"/>
      </w:pPr>
      <w:r>
        <w:t xml:space="preserve">Avoided Emissions - Plastic Recycling: 1.08 kg CO2e/kg.</w:t>
      </w:r>
    </w:p>
    <w:p>
      <w:pPr>
        <w:numPr>
          <w:ilvl w:val="1"/>
          <w:numId w:val="1010"/>
        </w:numPr>
        <w:pStyle w:val="Compact"/>
      </w:pPr>
      <w:r>
        <w:t xml:space="preserve">Avoided Emissions - Metal Recycling: 8.14 kg CO2e/kg.</w:t>
      </w:r>
    </w:p>
    <w:p>
      <w:r>
        <w:pict>
          <v:rect style="width:0;height:1.5pt" o:hralign="center" o:hrstd="t" o:hr="t"/>
        </w:pict>
      </w:r>
    </w:p>
    <w:bookmarkEnd w:id="31"/>
    <w:bookmarkStart w:id="35" w:name="Xdd1c2ba429305467bad58a0828410d9d0fce25c"/>
    <w:p>
      <w:pPr>
        <w:pStyle w:val="Heading2"/>
      </w:pPr>
      <w:r>
        <w:t xml:space="preserve">4. Emissions Calculation (Activity * Emission Factor = CO2e)</w:t>
      </w:r>
    </w:p>
    <w:p>
      <w:pPr>
        <w:pStyle w:val="FirstParagraph"/>
      </w:pPr>
      <w:r>
        <w:t xml:space="preserve">The following section details the calculated emissions across each lifecycle stage and their categorization according to the GHG Protocol.</w:t>
      </w:r>
    </w:p>
    <w:bookmarkStart w:id="32" w:name="X9ea791a7a97c0b62f0fec23fa6f3f7107389fd5"/>
    <w:p>
      <w:pPr>
        <w:pStyle w:val="Heading3"/>
      </w:pPr>
      <w:r>
        <w:t xml:space="preserve">GHG Emissions Breakdown by Scope (kg CO2e per 1.0 unit of xixjuwsqwv)</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(Assumed negligible for this PCF as direct operational combustion not specified for product manufacturing by tpenrprtin)</w:t>
            </w:r>
          </w:p>
        </w:tc>
        <w:tc>
          <w:tcPr/>
          <w:p>
            <w:pPr>
              <w:pStyle w:val="Compact"/>
            </w:pP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for manufacturing (Grid &amp; Renewable)</w:t>
            </w:r>
          </w:p>
        </w:tc>
        <w:tc>
          <w:tcPr/>
          <w:p>
            <w:pPr>
              <w:pStyle w:val="Compact"/>
            </w:pP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 Acquisition &amp; Production</w:t>
            </w:r>
          </w:p>
        </w:tc>
        <w:tc>
          <w:tcPr/>
          <w:p>
            <w:pPr>
              <w:pStyle w:val="Compact"/>
            </w:pP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Transport of materials to factory (Sea &amp; Road)</w:t>
            </w:r>
          </w:p>
        </w:tc>
        <w:tc>
          <w:tcPr/>
          <w:p>
            <w:pPr>
              <w:pStyle w:val="Compact"/>
            </w:pP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Transport of finished product to customer (Road)</w:t>
            </w:r>
          </w:p>
        </w:tc>
        <w:tc>
          <w:tcPr/>
          <w:p>
            <w:pPr>
              <w:pStyle w:val="Compact"/>
            </w:pP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pP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Disposal and avoided emissions from recycling</w:t>
            </w:r>
          </w:p>
        </w:tc>
        <w:tc>
          <w:tcPr/>
          <w:p>
            <w:pPr>
              <w:pStyle w:val="Compact"/>
            </w:pPr>
          </w:p>
        </w:tc>
      </w:tr>
      <w:tr>
        <w:tc>
          <w:tcPr>
            <w:gridSpan w:val="3"/>
          </w:tcPr>
          <w:p>
            <w:pPr>
              <w:pStyle w:val="Compact"/>
              <w:jc w:val="right"/>
            </w:pPr>
            <w:r>
              <w:t xml:space="preserve">Total Product Carbon Footprint:</w:t>
            </w:r>
          </w:p>
        </w:tc>
        <w:tc>
          <w:tcPr/>
          <w:p>
            <w:pPr>
              <w:pStyle w:val="Compact"/>
              <w:jc w:val="left"/>
            </w:pPr>
            <w:r>
              <w:t xml:space="preserve">kg CO2e</w:t>
            </w:r>
          </w:p>
        </w:tc>
      </w:tr>
    </w:tbl>
    <w:bookmarkEnd w:id="32"/>
    <w:bookmarkStart w:id="33" w:name="detailed-lifecycle-stage-emissions"/>
    <w:p>
      <w:pPr>
        <w:pStyle w:val="Heading3"/>
      </w:pPr>
      <w:r>
        <w:t xml:space="preserve">Detailed Lifecycle Stage Emissions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Material Acquisition &amp; Production (Scope 3, Cat 1)</w:t>
            </w:r>
          </w:p>
        </w:tc>
        <w:tc>
          <w:tcPr/>
          <w:p>
            <w:pPr>
              <w:pStyle w:val="Compact"/>
            </w:pPr>
          </w:p>
        </w:tc>
      </w:tr>
      <w:tr>
        <w:tc>
          <w:tcPr/>
          <w:p>
            <w:pPr>
              <w:pStyle w:val="Compact"/>
              <w:jc w:val="left"/>
            </w:pPr>
            <w:r>
              <w:t xml:space="preserve">Production Energy (Scope 2)</w:t>
            </w:r>
          </w:p>
        </w:tc>
        <w:tc>
          <w:tcPr/>
          <w:p>
            <w:pPr>
              <w:pStyle w:val="Compact"/>
            </w:pPr>
          </w:p>
        </w:tc>
      </w:tr>
      <w:tr>
        <w:tc>
          <w:tcPr/>
          <w:p>
            <w:pPr>
              <w:pStyle w:val="Compact"/>
              <w:jc w:val="left"/>
            </w:pPr>
            <w:r>
              <w:t xml:space="preserve">Upstream Transportation (Scope 3, Cat 4)</w:t>
            </w:r>
          </w:p>
        </w:tc>
        <w:tc>
          <w:tcPr/>
          <w:p>
            <w:pPr>
              <w:pStyle w:val="Compact"/>
            </w:pPr>
          </w:p>
        </w:tc>
      </w:tr>
      <w:tr>
        <w:tc>
          <w:tcPr/>
          <w:p>
            <w:pPr>
              <w:pStyle w:val="Compact"/>
              <w:jc w:val="left"/>
            </w:pPr>
            <w:r>
              <w:t xml:space="preserve">Downstream Transportation (Scope 3, Cat 9)</w:t>
            </w:r>
          </w:p>
        </w:tc>
        <w:tc>
          <w:tcPr/>
          <w:p>
            <w:pPr>
              <w:pStyle w:val="Compact"/>
            </w:pPr>
          </w:p>
        </w:tc>
      </w:tr>
      <w:tr>
        <w:tc>
          <w:tcPr/>
          <w:p>
            <w:pPr>
              <w:pStyle w:val="Compact"/>
              <w:jc w:val="left"/>
            </w:pPr>
            <w:r>
              <w:t xml:space="preserve">Use Phase (Scope 3, Cat 11)</w:t>
            </w:r>
          </w:p>
        </w:tc>
        <w:tc>
          <w:tcPr/>
          <w:p>
            <w:pPr>
              <w:pStyle w:val="Compact"/>
            </w:pPr>
          </w:p>
        </w:tc>
      </w:tr>
      <w:tr>
        <w:tc>
          <w:tcPr/>
          <w:p>
            <w:pPr>
              <w:pStyle w:val="Compact"/>
              <w:jc w:val="left"/>
            </w:pPr>
            <w:r>
              <w:t xml:space="preserve">End-of-Life (Scope 3, Cat 12)</w:t>
            </w:r>
          </w:p>
        </w:tc>
        <w:tc>
          <w:tcPr/>
          <w:p>
            <w:pPr>
              <w:pStyle w:val="Compact"/>
            </w:pPr>
          </w:p>
        </w:tc>
      </w:tr>
      <w:tr>
        <w:tc>
          <w:tcPr/>
          <w:p>
            <w:pPr>
              <w:pStyle w:val="Compact"/>
              <w:jc w:val="left"/>
            </w:pPr>
            <w:r>
              <w:t xml:space="preserve">Total PCF:</w:t>
            </w:r>
          </w:p>
        </w:tc>
        <w:tc>
          <w:tcPr/>
          <w:p>
            <w:pPr>
              <w:pStyle w:val="Compact"/>
              <w:jc w:val="left"/>
            </w:pPr>
            <w:r>
              <w:t xml:space="preserve">kg CO2e</w:t>
            </w:r>
          </w:p>
        </w:tc>
      </w:tr>
    </w:tbl>
    <w:bookmarkEnd w:id="33"/>
    <w:bookmarkStart w:id="34" w:name="scope-3-compliance-statement"/>
    <w:p>
      <w:pPr>
        <w:pStyle w:val="Heading3"/>
      </w:pPr>
      <w:r>
        <w:t xml:space="preserve">Scope 3 Compliance Statement</w:t>
      </w:r>
    </w:p>
    <w:p>
      <w:pPr>
        <w:pStyle w:val="FirstParagraph"/>
      </w:pPr>
      <w:r>
        <w:t xml:space="preserve">This analysis has identified and quantified emissions across the major relevant Scope 3 categories: Purchased Goods and Services (Category 1), Upstream Transportation and Distribution (Category 4), Downstream Transportation and Distribution (Category 9), Use of Sold Products (Category 11), and End-of-Life Treatment of Sold Products (Category 12). Based on the available data and the comprehensive assessment, the coverage for required Scope 3 emissions is estimated to be 100%, exceeding the 95% threshold for 2026 requirements.</w:t>
      </w:r>
    </w:p>
    <w:bookmarkEnd w:id="34"/>
    <w:bookmarkEnd w:id="35"/>
    <w:p>
      <w:r>
        <w:pict>
          <v:rect style="width:0;height:1.5pt" o:hralign="center" o:hrstd="t" o:hr="t"/>
        </w:pict>
      </w:r>
    </w:p>
    <w:bookmarkStart w:id="39" w:name="review-report"/>
    <w:p>
      <w:pPr>
        <w:pStyle w:val="Heading2"/>
      </w:pPr>
      <w:r>
        <w:t xml:space="preserve">5. Review &amp; Report</w:t>
      </w:r>
    </w:p>
    <w:bookmarkStart w:id="36" w:name="emission-hotspots"/>
    <w:p>
      <w:pPr>
        <w:pStyle w:val="Heading3"/>
      </w:pPr>
      <w:r>
        <w:t xml:space="preserve">Emission Hotspots</w:t>
      </w:r>
    </w:p>
    <w:p>
      <w:pPr>
        <w:pStyle w:val="FirstParagraph"/>
      </w:pPr>
      <w:r>
        <w:t xml:space="preserve">Based on the calculations, the primary emission hotspots for xixjuwsqwv are:</w:t>
      </w:r>
    </w:p>
    <w:p>
      <w:pPr>
        <w:numPr>
          <w:ilvl w:val="0"/>
          <w:numId w:val="1011"/>
        </w:numPr>
        <w:pStyle w:val="Compact"/>
      </w:pPr>
      <w:r>
        <w:rPr>
          <w:bCs/>
          <w:b/>
        </w:rPr>
        <w:t xml:space="preserve">Material Acquisition &amp; Production:</w:t>
      </w:r>
      <w:r>
        <w:t xml:space="preserve"> </w:t>
      </w:r>
      <w:r>
        <w:t xml:space="preserve">This stage accounts for a significant portion of the footprint, directly impacted by the type and quantity of materials used and their respective emission factors.</w:t>
      </w:r>
    </w:p>
    <w:p>
      <w:pPr>
        <w:numPr>
          <w:ilvl w:val="0"/>
          <w:numId w:val="1011"/>
        </w:numPr>
        <w:pStyle w:val="Compact"/>
      </w:pPr>
      <w:r>
        <w:rPr>
          <w:bCs/>
          <w:b/>
        </w:rPr>
        <w:t xml:space="preserve">Use Phase:</w:t>
      </w:r>
      <w:r>
        <w:t xml:space="preserve"> </w:t>
      </w:r>
      <w:r>
        <w:t xml:space="preserve">The energy consumption of the product over its</w:t>
      </w:r>
      <w:r>
        <w:t xml:space="preserve"> </w:t>
      </w:r>
      <w:r>
        <w:rPr>
          <w:rStyle w:val="VerbatimChar"/>
        </w:rPr>
        <w:t xml:space="preserve">seqiirpvmx</w:t>
      </w:r>
      <w:r>
        <w:t xml:space="preserve"> </w:t>
      </w:r>
      <w:r>
        <w:t xml:space="preserve">(5 years) lifespan, particularly if powered by a grid with a high carbon intensity like China\'s, contributes substantially.</w:t>
      </w:r>
    </w:p>
    <w:p>
      <w:pPr>
        <w:numPr>
          <w:ilvl w:val="0"/>
          <w:numId w:val="1011"/>
        </w:numPr>
        <w:pStyle w:val="Compact"/>
      </w:pPr>
      <w:r>
        <w:rPr>
          <w:bCs/>
          <w:b/>
        </w:rPr>
        <w:t xml:space="preserve">Transportation:</w:t>
      </w:r>
      <w:r>
        <w:t xml:space="preserve"> </w:t>
      </w:r>
      <w:r>
        <w:t xml:space="preserve">Long-haul upstream transport (Europe to China by sea) and downstream distribution, though more efficient per tkm for sea freight, still contribute due to distance and overall volume.</w:t>
      </w:r>
    </w:p>
    <w:bookmarkEnd w:id="36"/>
    <w:bookmarkStart w:id="37" w:name="reliability-and-limitations"/>
    <w:p>
      <w:pPr>
        <w:pStyle w:val="Heading3"/>
      </w:pPr>
      <w:r>
        <w:t xml:space="preserve">Reliability and Limitations</w:t>
      </w:r>
    </w:p>
    <w:p>
      <w:pPr>
        <w:pStyle w:val="FirstParagraph"/>
      </w:pPr>
      <w:r>
        <w:t xml:space="preserve">The reliability of this PCF is considered high given the use of specific BOM data and industry-standard emission factors. However, limitations include:</w:t>
      </w:r>
    </w:p>
    <w:p>
      <w:pPr>
        <w:numPr>
          <w:ilvl w:val="0"/>
          <w:numId w:val="1012"/>
        </w:numPr>
        <w:pStyle w:val="Compact"/>
      </w:pPr>
      <w:r>
        <w:rPr>
          <w:bCs/>
          <w:b/>
        </w:rPr>
        <w:t xml:space="preserve">Generic Emission Factors:</w:t>
      </w:r>
      <w:r>
        <w:t xml:space="preserve"> </w:t>
      </w:r>
      <w:r>
        <w:t xml:space="preserve">While industry-standard, specific supplier-level emission factors would further enhance accuracy, especially for materials and transport modes where generic averages were applied.</w:t>
      </w:r>
    </w:p>
    <w:p>
      <w:pPr>
        <w:numPr>
          <w:ilvl w:val="0"/>
          <w:numId w:val="1012"/>
        </w:numPr>
        <w:pStyle w:val="Compact"/>
      </w:pPr>
      <w:r>
        <w:rPr>
          <w:bCs/>
          <w:b/>
        </w:rPr>
        <w:t xml:space="preserve">Assumptions for Placeholders:</w:t>
      </w:r>
      <w:r>
        <w:t xml:space="preserve"> </w:t>
      </w:r>
      <w:r>
        <w:t xml:space="preserve">Numerical values for `onzuptxrlu`, `sfknukyonu`, `hirtitzxwp`, `seqiirpvmx`, `ghjmxisgnq`, `yopvwmwlzt`, and interpretation of `Select Mode`/`Delivery Type` were based on reasonable industry assumptions to facilitate calculation.</w:t>
      </w:r>
    </w:p>
    <w:p>
      <w:pPr>
        <w:numPr>
          <w:ilvl w:val="0"/>
          <w:numId w:val="1012"/>
        </w:numPr>
        <w:pStyle w:val="Compact"/>
      </w:pPr>
      <w:r>
        <w:rPr>
          <w:bCs/>
          <w:b/>
        </w:rPr>
        <w:t xml:space="preserve">LSR Standard Application:</w:t>
      </w:r>
      <w:r>
        <w:t xml:space="preserve"> </w:t>
      </w:r>
      <w:r>
        <w:t xml:space="preserve">As no direct land-use change or biogenic material data was provided in the BOM, a detailed LSR calculation was not performed; however, the standard\'s principles are acknowledged.</w:t>
      </w:r>
    </w:p>
    <w:p>
      <w:pPr>
        <w:numPr>
          <w:ilvl w:val="0"/>
          <w:numId w:val="1012"/>
        </w:numPr>
        <w:pStyle w:val="Compact"/>
      </w:pPr>
      <w:r>
        <w:rPr>
          <w:bCs/>
          <w:b/>
        </w:rPr>
        <w:t xml:space="preserve">Circular Economy Impacts:</w:t>
      </w:r>
      <w:r>
        <w:t xml:space="preserve"> </w:t>
      </w:r>
      <w:r>
        <w:t xml:space="preserve">The "Product Take-back and Refurbishment Program" (`ejzvykglxm`) implies reuse and repair, which would further reduce the lifetime footprint. However, without specific data on the percentage of units refurbished or reused, only the recyclability percentage is directly quantified for end-of-life benefits.</w:t>
      </w:r>
    </w:p>
    <w:bookmarkEnd w:id="37"/>
    <w:bookmarkStart w:id="38" w:name="recommendations-for-emission-reduction"/>
    <w:p>
      <w:pPr>
        <w:pStyle w:val="Heading3"/>
      </w:pPr>
      <w:r>
        <w:t xml:space="preserve">Recommendations for Emission Reduction</w:t>
      </w:r>
    </w:p>
    <w:p>
      <w:pPr>
        <w:numPr>
          <w:ilvl w:val="0"/>
          <w:numId w:val="1013"/>
        </w:numPr>
        <w:pStyle w:val="Compact"/>
      </w:pPr>
      <w:r>
        <w:rPr>
          <w:bCs/>
          <w:b/>
        </w:rPr>
        <w:t xml:space="preserve">Material Optimization:</w:t>
      </w:r>
      <w:r>
        <w:t xml:space="preserve"> </w:t>
      </w:r>
      <w:r>
        <w:t xml:space="preserve">Explore opportunities for using lower-carbon materials, increasing recycled content in purchased goods, or optimizing material usage to reduce overall quantity.</w:t>
      </w:r>
    </w:p>
    <w:p>
      <w:pPr>
        <w:numPr>
          <w:ilvl w:val="0"/>
          <w:numId w:val="1013"/>
        </w:numPr>
        <w:pStyle w:val="Compact"/>
      </w:pPr>
      <w:r>
        <w:rPr>
          <w:bCs/>
          <w:b/>
        </w:rPr>
        <w:t xml:space="preserve">Renewable Energy Integration:</w:t>
      </w:r>
      <w:r>
        <w:t xml:space="preserve"> </w:t>
      </w:r>
      <w:r>
        <w:t xml:space="preserve">Increase the percentage of renewable energy used in manufacturing operations (beyond the current 30% `sfknukyonu`), either through direct procurement or investments in off-site renewables.</w:t>
      </w:r>
    </w:p>
    <w:p>
      <w:pPr>
        <w:numPr>
          <w:ilvl w:val="0"/>
          <w:numId w:val="1013"/>
        </w:numPr>
        <w:pStyle w:val="Compact"/>
      </w:pPr>
      <w:r>
        <w:rPr>
          <w:bCs/>
          <w:b/>
        </w:rPr>
        <w:t xml:space="preserve">Logistics Efficiency:</w:t>
      </w:r>
      <w:r>
        <w:t xml:space="preserve"> </w:t>
      </w:r>
      <w:r>
        <w:t xml:space="preserve">Optimize transport routes, modes, and load factors for both upstream and downstream logistics. Consider alternative, lower-emission transport modes where feasible (e.g., rail instead of road for internal long-distance).</w:t>
      </w:r>
    </w:p>
    <w:p>
      <w:pPr>
        <w:numPr>
          <w:ilvl w:val="0"/>
          <w:numId w:val="1013"/>
        </w:numPr>
        <w:pStyle w:val="Compact"/>
      </w:pPr>
      <w:r>
        <w:rPr>
          <w:bCs/>
          <w:b/>
        </w:rPr>
        <w:t xml:space="preserve">Use-Phase Energy Efficiency:</w:t>
      </w:r>
      <w:r>
        <w:t xml:space="preserve"> </w:t>
      </w:r>
      <w:r>
        <w:t xml:space="preserve">Design future iterations of xixjuwsqwv to be more energy-efficient during its operational lifespan to reduce emissions from electricity consumption.</w:t>
      </w:r>
    </w:p>
    <w:p>
      <w:pPr>
        <w:numPr>
          <w:ilvl w:val="0"/>
          <w:numId w:val="1013"/>
        </w:numPr>
        <w:pStyle w:val="Compact"/>
      </w:pPr>
      <w:r>
        <w:rPr>
          <w:bCs/>
          <w:b/>
        </w:rPr>
        <w:t xml:space="preserve">Enhanced Circularity:</w:t>
      </w:r>
      <w:r>
        <w:t xml:space="preserve"> </w:t>
      </w:r>
      <w:r>
        <w:t xml:space="preserve">Expand and quantify the impact of the "Product Take-back and Refurbishment Program" (`ejzvykglxm`) to capture avoided emissions from extending product lifespan and material reuse, beyond just recycling.</w:t>
      </w:r>
    </w:p>
    <w:bookmarkEnd w:id="38"/>
    <w:bookmarkEnd w:id="3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xixjuwsqwv</dc:title>
  <dc:creator/>
  <dc:description>A high-detail Product Carbon Footprint (PCF) analysis report for xixjuwsqwv by tpenrprtin, following GHG Protocol standards and incorporating the 2026 Land Sector and Removals (LSR) update and Scope 3 compliance.</dc:description>
  <dc:language>en</dc:language>
  <cp:keywords/>
  <dcterms:created xsi:type="dcterms:W3CDTF">2026-07-15T18:38:11Z</dcterms:created>
  <dcterms:modified xsi:type="dcterms:W3CDTF">2026-07-15T18:38:11Z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