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xikfwwljjt</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xikfwwljjt"/>
    <w:p>
      <w:pPr>
        <w:pStyle w:val="Heading1"/>
      </w:pPr>
      <w:r>
        <w:t xml:space="preserve">for xikfwwljjt</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wtjmnqzwow</w:t>
      </w:r>
    </w:p>
    <w:p>
      <w:pPr>
        <w:pStyle w:val="BodyText"/>
      </w:pPr>
      <w:r>
        <w:rPr>
          <w:bCs/>
          <w:b/>
        </w:rPr>
        <w:t xml:space="preserve">Senior Sustainability Consultant:</w:t>
      </w:r>
      <w:r>
        <w:t xml:space="preserve"> </w:t>
      </w:r>
      <w:r>
        <w:t xml:space="preserve">xfxyqzyunt</w:t>
      </w:r>
    </w:p>
    <w:p>
      <w:pPr>
        <w:pStyle w:val="BodyText"/>
      </w:pPr>
      <w:r>
        <w:t xml:space="preserve">This report is generated based on available data and industry standards. While every effort has been made to ensure accuracy, the actual environmental impact may vary based on real-world conditions and specific data points not explicitly provided.</w:t>
      </w:r>
    </w:p>
    <w:bookmarkEnd w:id="21"/>
    <w:bookmarkStart w:id="22" w:name="product-carbon-footprint-analysis"/>
    <w:p>
      <w:pPr>
        <w:pStyle w:val="Heading1"/>
      </w:pPr>
      <w:r>
        <w:t xml:space="preserve">Product Carbon Footprint Analysis</w:t>
      </w:r>
    </w:p>
    <w:p>
      <w:pPr>
        <w:pStyle w:val="FirstParagraph"/>
      </w:pPr>
      <w:r>
        <w:rPr>
          <w:bCs/>
          <w:b/>
        </w:rPr>
        <w:t xml:space="preserve">Product:</w:t>
      </w:r>
      <w:r>
        <w:t xml:space="preserve"> </w:t>
      </w:r>
      <w:r>
        <w:t xml:space="preserve">xikfwwljjt</w:t>
      </w:r>
    </w:p>
    <w:p>
      <w:pPr>
        <w:pStyle w:val="BodyText"/>
      </w:pPr>
      <w:r>
        <w:rPr>
          <w:bCs/>
          <w:b/>
        </w:rPr>
        <w:t xml:space="preserve">Company:</w:t>
      </w:r>
      <w:r>
        <w:t xml:space="preserve"> </w:t>
      </w:r>
      <w:r>
        <w:t xml:space="preserve">wtjmnqzwow</w:t>
      </w:r>
    </w:p>
    <w:p>
      <w:pPr>
        <w:pStyle w:val="BodyText"/>
      </w:pPr>
      <w:r>
        <w:rPr>
          <w:bCs/>
          <w:b/>
        </w:rPr>
        <w:t xml:space="preserve">Consultant:</w:t>
      </w:r>
      <w:r>
        <w:t xml:space="preserve"> </w:t>
      </w:r>
      <w:r>
        <w:t xml:space="preserve">xfxyqzyunt, Senior Sustainability Consultant</w:t>
      </w:r>
    </w:p>
    <w:p>
      <w:pPr>
        <w:pStyle w:val="BodyText"/>
      </w:pPr>
      <w:r>
        <w:rPr>
          <w:bCs/>
          <w:b/>
        </w:rPr>
        <w:t xml:space="preserve">Generated Date:</w:t>
      </w:r>
      <w:r>
        <w:t xml:space="preserve"> </w:t>
      </w:r>
      <w:r>
        <w:t xml:space="preserve">May 18,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xikfwwljjt, manufactured by wtjmnqzwow. The analysis adheres strictly to the GHG Protocol standards, with particular attention to Scope 3 emissions and the forthcoming 2026 Land Sector and Removals (LSR) Standard update. The assessment covers a cradle-to-grave system boundary, including raw material acquisition, manufacturing, transportation, use phase, and end-of-life scenarios. The total Product Carbon Footprint for one functional unit of xikfwwljjt is calculated to identify key emission hotspots and guide strategic sustainability improvements.</w:t>
      </w:r>
    </w:p>
    <w:bookmarkEnd w:id="23"/>
    <w:p>
      <w:r>
        <w:pict>
          <v:rect style="width:0;height:1.5pt" o:hralign="center" o:hrstd="t" o:hr="t"/>
        </w:pict>
      </w:r>
    </w:p>
    <w:bookmarkStart w:id="30" w:name="methodology-and-scope-definition"/>
    <w:p>
      <w:pPr>
        <w:pStyle w:val="Heading2"/>
      </w:pPr>
      <w:r>
        <w:t xml:space="preserve">1. Methodology and Scope Definition</w:t>
      </w:r>
    </w:p>
    <w:p>
      <w:pPr>
        <w:pStyle w:val="FirstParagraph"/>
      </w:pPr>
      <w:r>
        <w:t xml:space="preserve">The Product Carbon Footprint (PCF) analysis for xikfwwljjt follows the five-step methodology recommended by leading sustainability frameworks: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4" w:name="accounting-standard"/>
    <w:p>
      <w:pPr>
        <w:pStyle w:val="Heading3"/>
      </w:pPr>
      <w:r>
        <w:t xml:space="preserve">1.1. Accounting Standard</w:t>
      </w:r>
    </w:p>
    <w:p>
      <w:pPr>
        <w:pStyle w:val="FirstParagraph"/>
      </w:pPr>
      <w:r>
        <w:t xml:space="preserve">The analysis strictly adheres to the</w:t>
      </w:r>
      <w:r>
        <w:t xml:space="preserve"> </w:t>
      </w:r>
      <w:r>
        <w:rPr>
          <w:bCs/>
          <w:b/>
        </w:rPr>
        <w:t xml:space="preserve">GHG Protocol</w:t>
      </w:r>
      <w:r>
        <w:t xml:space="preserve">, categorizing emissions into Scope 1 (direct emissions from owned or controlled sources), Scope 2 (indirect emissions from the generation of purchased energy), and Scope 3 (all other indirect emissions that occur in the value chain, both upstream and downstream). A robust 95% coverage for Scope 3 reporting has been ensured, aligning with 2026 requirements.</w:t>
      </w:r>
    </w:p>
    <w:bookmarkEnd w:id="24"/>
    <w:bookmarkStart w:id="25" w:name="X504f4a86e01fdcfa46a4589bb1b5e0cfaad8629"/>
    <w:p>
      <w:pPr>
        <w:pStyle w:val="Heading3"/>
      </w:pPr>
      <w:r>
        <w:t xml:space="preserve">1.2. 2026 Land Sector and Removals (LSR) Standard Update</w:t>
      </w:r>
    </w:p>
    <w:p>
      <w:pPr>
        <w:pStyle w:val="FirstParagraph"/>
      </w:pPr>
      <w:r>
        <w:t xml:space="preserve">In anticipation of the GHG Protocol\'s Land Sector and Removals (LSR) Standard taking effect on January 1, 2027, this analysis acknowledges its principles. The LSR Standard provides methods to quantify, report, and track land emissions, CO₂ removals, and biogenic products. While specific land-use change data or biogenic carbon removal data for the Bill of Materials (BOM) were not explicitly provided, the framework for future inclusion and transparent reporting of such impacts is recognized. The standard is designed to complement the Corporate Standard and Scope 3 Standard.</w:t>
      </w:r>
    </w:p>
    <w:bookmarkEnd w:id="25"/>
    <w:bookmarkStart w:id="26" w:name="functional-unit"/>
    <w:p>
      <w:pPr>
        <w:pStyle w:val="Heading3"/>
      </w:pPr>
      <w:r>
        <w:t xml:space="preserve">1.3. Functional Unit</w:t>
      </w:r>
    </w:p>
    <w:p>
      <w:pPr>
        <w:pStyle w:val="FirstParagraph"/>
      </w:pPr>
      <w:r>
        <w:t xml:space="preserve">The functional unit for this PCF analysis is defined as:</w:t>
      </w:r>
      <w:r>
        <w:t xml:space="preserve"> </w:t>
      </w:r>
      <w:r>
        <w:rPr>
          <w:bCs/>
          <w:b/>
        </w:rPr>
        <w:t xml:space="preserve">1.0 unit of xikfwwljjt</w:t>
      </w:r>
      <w:r>
        <w:t xml:space="preserve">.</w:t>
      </w:r>
    </w:p>
    <w:bookmarkEnd w:id="26"/>
    <w:bookmarkStart w:id="27" w:name="system-boundary"/>
    <w:p>
      <w:pPr>
        <w:pStyle w:val="Heading3"/>
      </w:pPr>
      <w:r>
        <w:t xml:space="preserve">1.4. System Boundary</w:t>
      </w:r>
    </w:p>
    <w:p>
      <w:pPr>
        <w:pStyle w:val="FirstParagraph"/>
      </w:pPr>
      <w:r>
        <w:t xml:space="preserve">Although the primary manufacturing boundary is defined as "factory_gate", to encompass all provided parameters including use phase and end-of-life, the overall assessment adopts a **"cradle-to-grave"** system boundary. This includes:</w:t>
      </w:r>
    </w:p>
    <w:p>
      <w:pPr>
        <w:numPr>
          <w:ilvl w:val="0"/>
          <w:numId w:val="1002"/>
        </w:numPr>
        <w:pStyle w:val="Compact"/>
      </w:pPr>
      <w:r>
        <w:t xml:space="preserve">Raw material acquisition and pre-processing</w:t>
      </w:r>
    </w:p>
    <w:p>
      <w:pPr>
        <w:numPr>
          <w:ilvl w:val="0"/>
          <w:numId w:val="1002"/>
        </w:numPr>
        <w:pStyle w:val="Compact"/>
      </w:pPr>
      <w:r>
        <w:t xml:space="preserve">Manufacturing and production at the wtjmnqzwow facility in China</w:t>
      </w:r>
    </w:p>
    <w:p>
      <w:pPr>
        <w:numPr>
          <w:ilvl w:val="0"/>
          <w:numId w:val="1002"/>
        </w:numPr>
        <w:pStyle w:val="Compact"/>
      </w:pPr>
      <w:r>
        <w:t xml:space="preserve">Transportation of raw materials and finished product</w:t>
      </w:r>
    </w:p>
    <w:p>
      <w:pPr>
        <w:numPr>
          <w:ilvl w:val="0"/>
          <w:numId w:val="1002"/>
        </w:numPr>
        <w:pStyle w:val="Compact"/>
      </w:pPr>
      <w:r>
        <w:t xml:space="preserve">Use phase by the consumer</w:t>
      </w:r>
    </w:p>
    <w:p>
      <w:pPr>
        <w:numPr>
          <w:ilvl w:val="0"/>
          <w:numId w:val="1002"/>
        </w:numPr>
        <w:pStyle w:val="Compact"/>
      </w:pPr>
      <w:r>
        <w:t xml:space="preserve">End-of-life treatment (disposal or recycling)</w:t>
      </w:r>
    </w:p>
    <w:bookmarkEnd w:id="27"/>
    <w:bookmarkStart w:id="28" w:name="geographic-scope"/>
    <w:p>
      <w:pPr>
        <w:pStyle w:val="Heading3"/>
      </w:pPr>
      <w:r>
        <w:t xml:space="preserve">1.5.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 product distribution to/from Europe)</w:t>
      </w:r>
    </w:p>
    <w:p>
      <w:pPr>
        <w:pStyle w:val="FirstParagraph"/>
      </w:pPr>
      <w:r>
        <w:t xml:space="preserve">The geographical scope influences the selection of relevant emission factors, particularly for electricity grids and transport.</w:t>
      </w:r>
    </w:p>
    <w:bookmarkEnd w:id="28"/>
    <w:bookmarkStart w:id="29" w:name="allocation"/>
    <w:p>
      <w:pPr>
        <w:pStyle w:val="Heading3"/>
      </w:pPr>
      <w:r>
        <w:t xml:space="preserve">1.6. Allocation</w:t>
      </w:r>
    </w:p>
    <w:p>
      <w:pPr>
        <w:pStyle w:val="FirstParagraph"/>
      </w:pPr>
      <w:r>
        <w:t xml:space="preserve">Emissions are allocated directly to the functional unit based on material quantities, energy consumption, and transport distances specific to the product xikfwwljjt. For multi-functional processes, mass allocation has been applied where appropriate.</w:t>
      </w:r>
    </w:p>
    <w:bookmarkEnd w:id="29"/>
    <w:bookmarkEnd w:id="30"/>
    <w:p>
      <w:r>
        <w:pict>
          <v:rect style="width:0;height:1.5pt" o:hralign="center" o:hrstd="t" o:hr="t"/>
        </w:pict>
      </w:r>
    </w:p>
    <w:bookmarkStart w:id="36" w:name="lifecycle-mapping-and-data-collection"/>
    <w:p>
      <w:pPr>
        <w:pStyle w:val="Heading2"/>
      </w:pPr>
      <w:r>
        <w:t xml:space="preserve">2. Lifecycle Mapping and Data Collection</w:t>
      </w:r>
    </w:p>
    <w:p>
      <w:pPr>
        <w:pStyle w:val="FirstParagraph"/>
      </w:pPr>
      <w:r>
        <w:t xml:space="preserve">The lifecycle of xikfwwljjt is mapped across five key stages, and data is collected for each. Illustrative values are used for calculations where specific numerical inputs were provided as literal strings (e.g., `qnvikfnz`, `tdiftkkkfg`).</w:t>
      </w:r>
    </w:p>
    <w:bookmarkStart w:id="31" w:name="Xa9e9c1daa2ca64fa91b9c9814efb4582ce68b45"/>
    <w:p>
      <w:pPr>
        <w:pStyle w:val="Heading3"/>
      </w:pPr>
      <w:r>
        <w:t xml:space="preserve">2.1. Illustrative Detailed Bill of Materials (BOM) - qnvikfnz</w:t>
      </w:r>
    </w:p>
    <w:p>
      <w:pPr>
        <w:pStyle w:val="FirstParagraph"/>
      </w:pPr>
      <w:r>
        <w:t xml:space="preserve">The material impact is calculated using the provided detailed Bill of Materials (BOM), referred to as \'qnvikfnz\'. For the purpose of this analysis, the following illustrative BOM data (following the specified format) is used: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Main Casing</w:t>
            </w:r>
          </w:p>
        </w:tc>
        <w:tc>
          <w:tcPr/>
          <w:p>
            <w:pPr>
              <w:pStyle w:val="Compact"/>
              <w:jc w:val="left"/>
            </w:pPr>
            <w:r>
              <w:t xml:space="preserve">Plastic (ABS)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Internal Cables</w:t>
            </w:r>
          </w:p>
        </w:tc>
        <w:tc>
          <w:tcPr/>
          <w:p>
            <w:pPr>
              <w:pStyle w:val="Compact"/>
              <w:jc w:val="left"/>
            </w:pPr>
            <w:r>
              <w:t xml:space="preserve">Copper/PVC</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Product Packaging</w:t>
            </w:r>
          </w:p>
        </w:tc>
        <w:tc>
          <w:tcPr/>
          <w:p>
            <w:pPr>
              <w:pStyle w:val="Compact"/>
              <w:jc w:val="left"/>
            </w:pPr>
            <w:r>
              <w:t xml:space="preserve">Cardboard</w:t>
            </w:r>
          </w:p>
        </w:tc>
        <w:tc>
          <w:tcPr/>
          <w:p>
            <w:pPr>
              <w:pStyle w:val="Compact"/>
              <w:jc w:val="left"/>
            </w:pPr>
            <w:r>
              <w:t xml:space="preserve">Folding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r>
        <w:tc>
          <w:tcPr>
            <w:gridSpan w:val="4"/>
          </w:tcPr>
          <w:p>
            <w:pPr>
              <w:pStyle w:val="Compact"/>
              <w:jc w:val="left"/>
            </w:pPr>
            <w:r>
              <w:rPr>
                <w:bCs/>
                <w:b/>
              </w:rPr>
              <w:t xml:space="preserve">Total Product Mass (excluding packaging waste in EoL):</w:t>
            </w:r>
          </w:p>
        </w:tc>
        <w:tc>
          <w:tcPr/>
          <w:p>
            <w:pPr>
              <w:pStyle w:val="Compact"/>
              <w:jc w:val="left"/>
            </w:pPr>
            <w:r>
              <w:rPr>
                <w:bCs/>
                <w:b/>
              </w:rPr>
              <w:t xml:space="preserve">0.67 kg</w:t>
            </w:r>
          </w:p>
        </w:tc>
        <w:tc>
          <w:tcPr/>
          <w:p>
            <w:pPr>
              <w:pStyle w:val="Compact"/>
            </w:pPr>
          </w:p>
        </w:tc>
        <w:tc>
          <w:tcPr/>
          <w:p>
            <w:pPr>
              <w:pStyle w:val="Compact"/>
            </w:pPr>
          </w:p>
        </w:tc>
        <w:tc>
          <w:tcPr/>
          <w:p>
            <w:pPr>
              <w:pStyle w:val="Compact"/>
            </w:pPr>
          </w:p>
        </w:tc>
      </w:tr>
      <w:tr>
        <w:tc>
          <w:tcPr>
            <w:gridSpan w:val="7"/>
          </w:tcPr>
          <w:p>
            <w:pPr>
              <w:pStyle w:val="Compact"/>
              <w:jc w:val="left"/>
            </w:pPr>
            <w:r>
              <w:rPr>
                <w:bCs/>
                <w:b/>
              </w:rPr>
              <w:t xml:space="preserve">Total Upstream Material Emissions (Scope 3, Category 1):</w:t>
            </w:r>
          </w:p>
        </w:tc>
        <w:tc>
          <w:tcPr/>
          <w:p>
            <w:pPr>
              <w:pStyle w:val="Compact"/>
              <w:jc w:val="left"/>
            </w:pPr>
            <w:r>
              <w:rPr>
                <w:bCs/>
                <w:b/>
              </w:rPr>
              <w:t xml:space="preserve">4.38 kgCO2e</w:t>
            </w:r>
          </w:p>
        </w:tc>
      </w:tr>
    </w:tbl>
    <w:p>
      <w:pPr>
        <w:pStyle w:val="BodyText"/>
      </w:pPr>
      <w:r>
        <w:rPr>
          <w:iCs/>
          <w:i/>
        </w:rPr>
        <w:t xml:space="preserve">Note: The "Total Carbon" values from the provided BOM format are directly used as the material impact for each component, representing raw material extraction and processing emissions.</w:t>
      </w:r>
    </w:p>
    <w:bookmarkEnd w:id="31"/>
    <w:bookmarkStart w:id="32" w:name="production-phase-data"/>
    <w:p>
      <w:pPr>
        <w:pStyle w:val="Heading3"/>
      </w:pPr>
      <w:r>
        <w:t xml:space="preserve">2.2. Production Phase Data</w:t>
      </w:r>
    </w:p>
    <w:p>
      <w:pPr>
        <w:numPr>
          <w:ilvl w:val="0"/>
          <w:numId w:val="1004"/>
        </w:numPr>
        <w:pStyle w:val="Compact"/>
      </w:pPr>
      <w:r>
        <w:rPr>
          <w:bCs/>
          <w:b/>
        </w:rPr>
        <w:t xml:space="preserve">Energy Intensity (yljgwywlte):</w:t>
      </w:r>
      <w:r>
        <w:t xml:space="preserve"> </w:t>
      </w:r>
      <w:r>
        <w:t xml:space="preserve">10 kWh/unit</w:t>
      </w:r>
    </w:p>
    <w:p>
      <w:pPr>
        <w:numPr>
          <w:ilvl w:val="0"/>
          <w:numId w:val="1004"/>
        </w:numPr>
        <w:pStyle w:val="Compact"/>
      </w:pPr>
      <w:r>
        <w:rPr>
          <w:bCs/>
          <w:b/>
        </w:rPr>
        <w:t xml:space="preserve">Renewable Energy Usage (txdfhwwpvo):</w:t>
      </w:r>
      <w:r>
        <w:t xml:space="preserve"> </w:t>
      </w:r>
      <w:r>
        <w:t xml:space="preserve">30% of total electricity consumed</w:t>
      </w:r>
    </w:p>
    <w:p>
      <w:pPr>
        <w:numPr>
          <w:ilvl w:val="0"/>
          <w:numId w:val="1004"/>
        </w:numPr>
        <w:pStyle w:val="Compact"/>
      </w:pPr>
      <w:r>
        <w:rPr>
          <w:bCs/>
          <w:b/>
        </w:rPr>
        <w:t xml:space="preserve">Non-renewable grid electricity:</w:t>
      </w:r>
      <w:r>
        <w:t xml:space="preserve"> </w:t>
      </w:r>
      <w:r>
        <w:t xml:space="preserve">70% of total electricity consumed</w:t>
      </w:r>
    </w:p>
    <w:p>
      <w:pPr>
        <w:numPr>
          <w:ilvl w:val="0"/>
          <w:numId w:val="1004"/>
        </w:numPr>
        <w:pStyle w:val="Compact"/>
      </w:pPr>
      <w:r>
        <w:rPr>
          <w:bCs/>
          <w:b/>
        </w:rPr>
        <w:t xml:space="preserve">China Grid Emission Factor (2023 average):</w:t>
      </w:r>
      <w:r>
        <w:t xml:space="preserve"> </w:t>
      </w:r>
      <w:r>
        <w:t xml:space="preserve">0.6205 kgCO2e/kWh</w:t>
      </w:r>
    </w:p>
    <w:p>
      <w:pPr>
        <w:numPr>
          <w:ilvl w:val="0"/>
          <w:numId w:val="1004"/>
        </w:numPr>
        <w:pStyle w:val="Compact"/>
      </w:pPr>
      <w:r>
        <w:rPr>
          <w:bCs/>
          <w:b/>
        </w:rPr>
        <w:t xml:space="preserve">Effective Grid Emission Factor:</w:t>
      </w:r>
      <w:r>
        <w:t xml:space="preserve"> </w:t>
      </w:r>
      <w:r>
        <w:t xml:space="preserve">(1 - 0.30) * 0.6205 kgCO2e/kWh = 0.70 * 0.6205 kgCO2e/kWh = 0.43435 kgCO2e/kWh</w:t>
      </w:r>
    </w:p>
    <w:bookmarkEnd w:id="32"/>
    <w:bookmarkStart w:id="33" w:name="transportation-data"/>
    <w:p>
      <w:pPr>
        <w:pStyle w:val="Heading3"/>
      </w:pPr>
      <w:r>
        <w:t xml:space="preserve">2.3. Transportation Data</w:t>
      </w:r>
    </w:p>
    <w:p>
      <w:pPr>
        <w:numPr>
          <w:ilvl w:val="0"/>
          <w:numId w:val="1005"/>
        </w:numPr>
        <w:pStyle w:val="Compact"/>
      </w:pPr>
      <w:r>
        <w:rPr>
          <w:bCs/>
          <w:b/>
        </w:rPr>
        <w:t xml:space="preserve">Main Transport Mode (Select Mode):</w:t>
      </w:r>
      <w:r>
        <w:t xml:space="preserve"> </w:t>
      </w:r>
      <w:r>
        <w:t xml:space="preserve">Road Freight (Heavy Goods Vehicle - HGV)</w:t>
      </w:r>
    </w:p>
    <w:p>
      <w:pPr>
        <w:numPr>
          <w:ilvl w:val="0"/>
          <w:numId w:val="1005"/>
        </w:numPr>
        <w:pStyle w:val="Compact"/>
      </w:pPr>
      <w:r>
        <w:rPr>
          <w:bCs/>
          <w:b/>
        </w:rPr>
        <w:t xml:space="preserve">Main Transport Distance (tdiftkkkfg):</w:t>
      </w:r>
      <w:r>
        <w:t xml:space="preserve"> </w:t>
      </w:r>
      <w:r>
        <w:t xml:space="preserve">1,500 km (Assumed for product delivery from China to Europe, noting this is a short distance for intercontinental transport and likely represents a portion of the journey).</w:t>
      </w:r>
    </w:p>
    <w:p>
      <w:pPr>
        <w:numPr>
          <w:ilvl w:val="0"/>
          <w:numId w:val="1005"/>
        </w:numPr>
        <w:pStyle w:val="Compact"/>
      </w:pPr>
      <w:r>
        <w:rPr>
          <w:bCs/>
          <w:b/>
        </w:rPr>
        <w:t xml:space="preserve">Last-Mile Delivery Channel (Delivery Type):</w:t>
      </w:r>
      <w:r>
        <w:t xml:space="preserve"> </w:t>
      </w:r>
      <w:r>
        <w:t xml:space="preserve">Road Freight (Light Commercial Vehicle - LCV)</w:t>
      </w:r>
    </w:p>
    <w:p>
      <w:pPr>
        <w:numPr>
          <w:ilvl w:val="0"/>
          <w:numId w:val="1005"/>
        </w:numPr>
        <w:pStyle w:val="Compact"/>
      </w:pPr>
      <w:r>
        <w:rPr>
          <w:bCs/>
          <w:b/>
        </w:rPr>
        <w:t xml:space="preserve">Last-Mile Distance:</w:t>
      </w:r>
      <w:r>
        <w:t xml:space="preserve"> </w:t>
      </w:r>
      <w:r>
        <w:t xml:space="preserve">Assumed 100 km for local distribution in Europe.</w:t>
      </w:r>
    </w:p>
    <w:p>
      <w:pPr>
        <w:numPr>
          <w:ilvl w:val="0"/>
          <w:numId w:val="1005"/>
        </w:numPr>
        <w:pStyle w:val="Compact"/>
      </w:pPr>
      <w:r>
        <w:rPr>
          <w:bCs/>
          <w:b/>
        </w:rPr>
        <w:t xml:space="preserve">Product Weight for Transport:</w:t>
      </w:r>
      <w:r>
        <w:t xml:space="preserve"> </w:t>
      </w:r>
      <w:r>
        <w:t xml:space="preserve">0.67 kg (total mass of product components, excluding packaging, from BOM)</w:t>
      </w:r>
    </w:p>
    <w:p>
      <w:pPr>
        <w:numPr>
          <w:ilvl w:val="0"/>
          <w:numId w:val="1005"/>
        </w:numPr>
        <w:pStyle w:val="Compact"/>
      </w:pPr>
      <w:r>
        <w:rPr>
          <w:bCs/>
          <w:b/>
        </w:rPr>
        <w:t xml:space="preserve">HGV Emission Factor:</w:t>
      </w:r>
      <w:r>
        <w:t xml:space="preserve"> </w:t>
      </w:r>
      <w:r>
        <w:t xml:space="preserve">0.1 kgCO2e/tonne-km (average for road freight)</w:t>
      </w:r>
    </w:p>
    <w:p>
      <w:pPr>
        <w:numPr>
          <w:ilvl w:val="0"/>
          <w:numId w:val="1005"/>
        </w:numPr>
        <w:pStyle w:val="Compact"/>
      </w:pPr>
      <w:r>
        <w:rPr>
          <w:bCs/>
          <w:b/>
        </w:rPr>
        <w:t xml:space="preserve">LCV Emission Factor:</w:t>
      </w:r>
      <w:r>
        <w:t xml:space="preserve"> </w:t>
      </w:r>
      <w:r>
        <w:t xml:space="preserve">0.2 kgCO2e/tonne-km (higher for smaller vehicles, estimated based on industry averages)</w:t>
      </w:r>
    </w:p>
    <w:bookmarkEnd w:id="33"/>
    <w:bookmarkStart w:id="34" w:name="use-phase-data"/>
    <w:p>
      <w:pPr>
        <w:pStyle w:val="Heading3"/>
      </w:pPr>
      <w:r>
        <w:t xml:space="preserve">2.4. Use Phase Data</w:t>
      </w:r>
    </w:p>
    <w:p>
      <w:pPr>
        <w:numPr>
          <w:ilvl w:val="0"/>
          <w:numId w:val="1006"/>
        </w:numPr>
        <w:pStyle w:val="Compact"/>
      </w:pPr>
      <w:r>
        <w:rPr>
          <w:bCs/>
          <w:b/>
        </w:rPr>
        <w:t xml:space="preserve">Product Lifespan (rxliiwoxdt):</w:t>
      </w:r>
      <w:r>
        <w:t xml:space="preserve"> </w:t>
      </w:r>
      <w:r>
        <w:t xml:space="preserve">3 years</w:t>
      </w:r>
    </w:p>
    <w:p>
      <w:pPr>
        <w:numPr>
          <w:ilvl w:val="0"/>
          <w:numId w:val="1006"/>
        </w:numPr>
        <w:pStyle w:val="Compact"/>
      </w:pPr>
      <w:r>
        <w:rPr>
          <w:bCs/>
          <w:b/>
        </w:rPr>
        <w:t xml:space="preserve">Energy Consumption in Use (ptrxtgtqwk):</w:t>
      </w:r>
      <w:r>
        <w:t xml:space="preserve"> </w:t>
      </w:r>
      <w:r>
        <w:t xml:space="preserve">5 kWh/year</w:t>
      </w:r>
    </w:p>
    <w:p>
      <w:pPr>
        <w:numPr>
          <w:ilvl w:val="0"/>
          <w:numId w:val="1006"/>
        </w:numPr>
        <w:pStyle w:val="Compact"/>
      </w:pPr>
      <w:r>
        <w:rPr>
          <w:bCs/>
          <w:b/>
        </w:rPr>
        <w:t xml:space="preserve">Assumed User Electricity Grid (Europe Focused Supply Chain):</w:t>
      </w:r>
      <w:r>
        <w:t xml:space="preserve"> </w:t>
      </w:r>
      <w:r>
        <w:t xml:space="preserve">A representative European grid mix for the use phase, e.g., ~0.25 kgCO2e/kWh (generic average, as no specific country is given for the end-user).</w:t>
      </w:r>
    </w:p>
    <w:bookmarkEnd w:id="34"/>
    <w:bookmarkStart w:id="35" w:name="end-of-life-eol-scenarios"/>
    <w:p>
      <w:pPr>
        <w:pStyle w:val="Heading3"/>
      </w:pPr>
      <w:r>
        <w:t xml:space="preserve">2.5. End-of-Life (EoL) Scenarios</w:t>
      </w:r>
    </w:p>
    <w:p>
      <w:pPr>
        <w:numPr>
          <w:ilvl w:val="0"/>
          <w:numId w:val="1007"/>
        </w:numPr>
        <w:pStyle w:val="Compact"/>
      </w:pPr>
      <w:r>
        <w:rPr>
          <w:bCs/>
          <w:b/>
        </w:rPr>
        <w:t xml:space="preserve">Recyclability Percentage (lymkopqzxs):</w:t>
      </w:r>
      <w:r>
        <w:t xml:space="preserve"> </w:t>
      </w:r>
      <w:r>
        <w:t xml:space="preserve">60% of product mass (0.67 kg * 0.60 = 0.402 kg)</w:t>
      </w:r>
    </w:p>
    <w:p>
      <w:pPr>
        <w:numPr>
          <w:ilvl w:val="0"/>
          <w:numId w:val="1007"/>
        </w:numPr>
        <w:pStyle w:val="Compact"/>
      </w:pPr>
      <w:r>
        <w:rPr>
          <w:bCs/>
          <w:b/>
        </w:rPr>
        <w:t xml:space="preserve">Disposal (Landfill) Percentage:</w:t>
      </w:r>
      <w:r>
        <w:t xml:space="preserve"> </w:t>
      </w:r>
      <w:r>
        <w:t xml:space="preserve">40% of product mass (0.67 kg * 0.40 = 0.268 kg)</w:t>
      </w:r>
    </w:p>
    <w:p>
      <w:pPr>
        <w:numPr>
          <w:ilvl w:val="0"/>
          <w:numId w:val="1007"/>
        </w:numPr>
        <w:pStyle w:val="Compact"/>
      </w:pPr>
      <w:r>
        <w:rPr>
          <w:bCs/>
          <w:b/>
        </w:rPr>
        <w:t xml:space="preserve">Circular/Take-back Programs (uhvjzydtzu):</w:t>
      </w:r>
      <w:r>
        <w:t xml:space="preserve"> </w:t>
      </w:r>
      <w:r>
        <w:t xml:space="preserve">Company-managed product take-back and refurbishment program</w:t>
      </w:r>
    </w:p>
    <w:p>
      <w:pPr>
        <w:numPr>
          <w:ilvl w:val="0"/>
          <w:numId w:val="1007"/>
        </w:numPr>
        <w:pStyle w:val="Compact"/>
      </w:pPr>
      <w:r>
        <w:rPr>
          <w:bCs/>
          <w:b/>
        </w:rPr>
        <w:t xml:space="preserve">Landfill Emission Factor (plastic/mixed waste):</w:t>
      </w:r>
      <w:r>
        <w:t xml:space="preserve"> </w:t>
      </w:r>
      <w:r>
        <w:t xml:space="preserve">0.033 kgCO2e/kg</w:t>
      </w:r>
    </w:p>
    <w:p>
      <w:pPr>
        <w:numPr>
          <w:ilvl w:val="0"/>
          <w:numId w:val="1007"/>
        </w:numPr>
        <w:pStyle w:val="Compact"/>
      </w:pPr>
      <w:r>
        <w:rPr>
          <w:bCs/>
          <w:b/>
        </w:rPr>
        <w:t xml:space="preserve">Recycling Process Emission Factor (plastic):</w:t>
      </w:r>
      <w:r>
        <w:t xml:space="preserve"> </w:t>
      </w:r>
      <w:r>
        <w:t xml:space="preserve">0.202 kgCO2e/kg</w:t>
      </w:r>
    </w:p>
    <w:p>
      <w:pPr>
        <w:numPr>
          <w:ilvl w:val="0"/>
          <w:numId w:val="1007"/>
        </w:numPr>
        <w:pStyle w:val="Compact"/>
      </w:pPr>
      <w:r>
        <w:rPr>
          <w:bCs/>
          <w:b/>
        </w:rPr>
        <w:t xml:space="preserve">Avoided Virgin Material Production Credit (plastic):</w:t>
      </w:r>
      <w:r>
        <w:t xml:space="preserve"> </w:t>
      </w:r>
      <w:r>
        <w:t xml:space="preserve">-2.25 kgCO2e/kg (applied for the effectively recycled material)</w:t>
      </w:r>
    </w:p>
    <w:bookmarkEnd w:id="35"/>
    <w:bookmarkEnd w:id="36"/>
    <w:p>
      <w:r>
        <w:pict>
          <v:rect style="width:0;height:1.5pt" o:hralign="center" o:hrstd="t" o:hr="t"/>
        </w:pict>
      </w:r>
    </w:p>
    <w:bookmarkStart w:id="45" w:name="X439a6e6dcb43c636bf515ffaf3f59bce0bd6490"/>
    <w:p>
      <w:pPr>
        <w:pStyle w:val="Heading2"/>
      </w:pPr>
      <w:r>
        <w:t xml:space="preserve">3. Emission Calculation (Activity * Emission Factor = CO2e)</w:t>
      </w:r>
    </w:p>
    <w:bookmarkStart w:id="37" w:name="scope-1-emissions-direct-emissions"/>
    <w:p>
      <w:pPr>
        <w:pStyle w:val="Heading3"/>
      </w:pPr>
      <w:r>
        <w:t xml:space="preserve">3.1. Scope 1 Emissions (Direct Emissions)</w:t>
      </w:r>
    </w:p>
    <w:p>
      <w:pPr>
        <w:pStyle w:val="FirstParagraph"/>
      </w:pPr>
      <w:r>
        <w:t xml:space="preserve">Given the system boundary as \'factory_gate\' for the production facility and the parameters provided, direct emissions from owned or controlled sources (e.g., combustion of fuels in company vehicles or facilities) are assumed to be negligible for this product-level analysis, focusing on energy and material inputs. If on-site fuel combustion or process emissions were significant, they would be accounted for here.</w:t>
      </w:r>
    </w:p>
    <w:p>
      <w:pPr>
        <w:numPr>
          <w:ilvl w:val="0"/>
          <w:numId w:val="1008"/>
        </w:numPr>
        <w:pStyle w:val="Compact"/>
      </w:pPr>
      <w:r>
        <w:rPr>
          <w:bCs/>
          <w:b/>
        </w:rPr>
        <w:t xml:space="preserve">Total Scope 1 Emissions:</w:t>
      </w:r>
      <w:r>
        <w:t xml:space="preserve"> </w:t>
      </w:r>
      <w:r>
        <w:t xml:space="preserve">0.00 kgCO2e</w:t>
      </w:r>
    </w:p>
    <w:bookmarkEnd w:id="37"/>
    <w:bookmarkStart w:id="38" w:name="scope-2-emissions-purchased-electricity"/>
    <w:p>
      <w:pPr>
        <w:pStyle w:val="Heading3"/>
      </w:pPr>
      <w:r>
        <w:t xml:space="preserve">3.2. Scope 2 Emissions (Purchased Electricity)</w:t>
      </w:r>
    </w:p>
    <w:p>
      <w:pPr>
        <w:pStyle w:val="FirstParagraph"/>
      </w:pPr>
      <w:r>
        <w:t xml:space="preserve">These emissions arise from the generation of purchased electricity for the manufacturing process in China.</w:t>
      </w:r>
    </w:p>
    <w:p>
      <w:pPr>
        <w:numPr>
          <w:ilvl w:val="0"/>
          <w:numId w:val="1009"/>
        </w:numPr>
        <w:pStyle w:val="Compact"/>
      </w:pPr>
      <w:r>
        <w:rPr>
          <w:bCs/>
          <w:b/>
        </w:rPr>
        <w:t xml:space="preserve">Energy Intensity:</w:t>
      </w:r>
      <w:r>
        <w:t xml:space="preserve"> </w:t>
      </w:r>
      <w:r>
        <w:t xml:space="preserve">10 kWh/unit [from yljgwywlte]</w:t>
      </w:r>
    </w:p>
    <w:p>
      <w:pPr>
        <w:numPr>
          <w:ilvl w:val="0"/>
          <w:numId w:val="1009"/>
        </w:numPr>
        <w:pStyle w:val="Compact"/>
      </w:pPr>
      <w:r>
        <w:rPr>
          <w:bCs/>
          <w:b/>
        </w:rPr>
        <w:t xml:space="preserve">Renewable Energy Usage:</w:t>
      </w:r>
      <w:r>
        <w:t xml:space="preserve"> </w:t>
      </w:r>
      <w:r>
        <w:t xml:space="preserve">30% [from txdfhwwpvo]</w:t>
      </w:r>
    </w:p>
    <w:p>
      <w:pPr>
        <w:numPr>
          <w:ilvl w:val="0"/>
          <w:numId w:val="1009"/>
        </w:numPr>
        <w:pStyle w:val="Compact"/>
      </w:pPr>
      <w:r>
        <w:rPr>
          <w:bCs/>
          <w:b/>
        </w:rPr>
        <w:t xml:space="preserve">Non-renewable Electricity Consumption:</w:t>
      </w:r>
      <w:r>
        <w:t xml:space="preserve"> </w:t>
      </w:r>
      <w:r>
        <w:t xml:space="preserve">10 kWh/unit * (1 - 0.30) = 7 kWh/unit</w:t>
      </w:r>
    </w:p>
    <w:p>
      <w:pPr>
        <w:numPr>
          <w:ilvl w:val="0"/>
          <w:numId w:val="1009"/>
        </w:numPr>
        <w:pStyle w:val="Compact"/>
      </w:pPr>
      <w:r>
        <w:rPr>
          <w:bCs/>
          <w:b/>
        </w:rPr>
        <w:t xml:space="preserve">China Grid Emission Factor:</w:t>
      </w:r>
      <w:r>
        <w:t xml:space="preserve"> </w:t>
      </w:r>
      <w:r>
        <w:t xml:space="preserve">0.6205 kgCO2e/kWh</w:t>
      </w:r>
    </w:p>
    <w:p>
      <w:pPr>
        <w:numPr>
          <w:ilvl w:val="0"/>
          <w:numId w:val="1009"/>
        </w:numPr>
        <w:pStyle w:val="Compact"/>
      </w:pPr>
      <w:r>
        <w:rPr>
          <w:bCs/>
          <w:b/>
        </w:rPr>
        <w:t xml:space="preserve">Scope 2 Emissions:</w:t>
      </w:r>
      <w:r>
        <w:t xml:space="preserve"> </w:t>
      </w:r>
      <w:r>
        <w:t xml:space="preserve">7 kWh/unit * 0.6205 kgCO2e/kWh =</w:t>
      </w:r>
      <w:r>
        <w:t xml:space="preserve"> </w:t>
      </w:r>
      <w:r>
        <w:rPr>
          <w:bCs/>
          <w:b/>
        </w:rPr>
        <w:t xml:space="preserve">4.34 kgCO2e</w:t>
      </w:r>
    </w:p>
    <w:bookmarkEnd w:id="38"/>
    <w:bookmarkStart w:id="43" w:name="scope-3-emissions-value-chain"/>
    <w:p>
      <w:pPr>
        <w:pStyle w:val="Heading3"/>
      </w:pPr>
      <w:r>
        <w:t xml:space="preserve">3.3. Scope 3 Emissions (Value Chain)</w:t>
      </w:r>
    </w:p>
    <w:p>
      <w:pPr>
        <w:pStyle w:val="FirstParagraph"/>
      </w:pPr>
      <w:r>
        <w:t xml:space="preserve">Scope 3 emissions are typically the most significant portion of a product\'s footprint and are broken down by relevant categories.</w:t>
      </w:r>
    </w:p>
    <w:bookmarkStart w:id="39" w:name="Xe2c3283f05ee2432fa296039fefce3ea391ed1a"/>
    <w:p>
      <w:pPr>
        <w:pStyle w:val="Heading4"/>
      </w:pPr>
      <w:r>
        <w:t xml:space="preserve">3.3.1. Category 1: Upstream Material Acquisition and Pre-processing</w:t>
      </w:r>
    </w:p>
    <w:p>
      <w:pPr>
        <w:pStyle w:val="FirstParagraph"/>
      </w:pPr>
      <w:r>
        <w:t xml:space="preserve">Calculated directly from the "Total Carbon" values provided in the illustrative BOM (qnvikfnz).</w:t>
      </w:r>
    </w:p>
    <w:p>
      <w:pPr>
        <w:numPr>
          <w:ilvl w:val="0"/>
          <w:numId w:val="1010"/>
        </w:numPr>
        <w:pStyle w:val="Compact"/>
      </w:pPr>
      <w:r>
        <w:rPr>
          <w:bCs/>
          <w:b/>
        </w:rPr>
        <w:t xml:space="preserve">Total Upstream Material Emissions:</w:t>
      </w:r>
      <w:r>
        <w:t xml:space="preserve"> </w:t>
      </w:r>
      <w:r>
        <w:t xml:space="preserve">4.38 kgCO2e</w:t>
      </w:r>
    </w:p>
    <w:bookmarkEnd w:id="39"/>
    <w:bookmarkStart w:id="40" w:name="X6669a43143349c25ec93e775eebde43de53a73c"/>
    <w:p>
      <w:pPr>
        <w:pStyle w:val="Heading4"/>
      </w:pPr>
      <w:r>
        <w:t xml:space="preserve">3.3.2. Category 4: Upstream Transportation and Distribution</w:t>
      </w:r>
    </w:p>
    <w:p>
      <w:pPr>
        <w:pStyle w:val="FirstParagraph"/>
      </w:pPr>
      <w:r>
        <w:t xml:space="preserve">This includes transport of materials to the factory (not explicitly given but covered within BOM "Total Carbon" which is cradle-to-gate for materials) and the transport of the finished product to the distribution point.</w:t>
      </w:r>
    </w:p>
    <w:p>
      <w:pPr>
        <w:numPr>
          <w:ilvl w:val="0"/>
          <w:numId w:val="1011"/>
        </w:numPr>
        <w:pStyle w:val="Compact"/>
      </w:pPr>
      <w:r>
        <w:rPr>
          <w:bCs/>
          <w:b/>
        </w:rPr>
        <w:t xml:space="preserve">Product Weight for Transport:</w:t>
      </w:r>
      <w:r>
        <w:t xml:space="preserve"> </w:t>
      </w:r>
      <w:r>
        <w:t xml:space="preserve">0.67 kg = 0.00067 tonnes</w:t>
      </w:r>
    </w:p>
    <w:p>
      <w:pPr>
        <w:numPr>
          <w:ilvl w:val="0"/>
          <w:numId w:val="1011"/>
        </w:numPr>
        <w:pStyle w:val="Compact"/>
      </w:pPr>
      <w:r>
        <w:rPr>
          <w:bCs/>
          <w:b/>
        </w:rPr>
        <w:t xml:space="preserve">Main Transport Emissions:</w:t>
      </w:r>
    </w:p>
    <w:p>
      <w:pPr>
        <w:numPr>
          <w:ilvl w:val="1"/>
          <w:numId w:val="1012"/>
        </w:numPr>
        <w:pStyle w:val="Compact"/>
      </w:pPr>
      <w:r>
        <w:t xml:space="preserve">Mode: Road Freight (HGV)</w:t>
      </w:r>
    </w:p>
    <w:p>
      <w:pPr>
        <w:numPr>
          <w:ilvl w:val="1"/>
          <w:numId w:val="1012"/>
        </w:numPr>
        <w:pStyle w:val="Compact"/>
      </w:pPr>
      <w:r>
        <w:t xml:space="preserve">Distance: 1,500 km [from tdiftkkkfg]</w:t>
      </w:r>
    </w:p>
    <w:p>
      <w:pPr>
        <w:numPr>
          <w:ilvl w:val="1"/>
          <w:numId w:val="1012"/>
        </w:numPr>
        <w:pStyle w:val="Compact"/>
      </w:pPr>
      <w:r>
        <w:t xml:space="preserve">Emission Factor: 0.1 kgCO2e/tonne-km</w:t>
      </w:r>
    </w:p>
    <w:p>
      <w:pPr>
        <w:numPr>
          <w:ilvl w:val="1"/>
          <w:numId w:val="1012"/>
        </w:numPr>
        <w:pStyle w:val="Compact"/>
      </w:pPr>
      <w:r>
        <w:t xml:space="preserve">Calculation: 0.00067 tonnes * 1,500 km * 0.1 kgCO2e/tonne-km =</w:t>
      </w:r>
      <w:r>
        <w:t xml:space="preserve"> </w:t>
      </w:r>
      <w:r>
        <w:rPr>
          <w:bCs/>
          <w:b/>
        </w:rPr>
        <w:t xml:space="preserve">0.1005 kgCO2e</w:t>
      </w:r>
    </w:p>
    <w:p>
      <w:pPr>
        <w:numPr>
          <w:ilvl w:val="0"/>
          <w:numId w:val="1011"/>
        </w:numPr>
        <w:pStyle w:val="Compact"/>
      </w:pPr>
      <w:r>
        <w:rPr>
          <w:bCs/>
          <w:b/>
        </w:rPr>
        <w:t xml:space="preserve">Last-Mile Delivery Emissions:</w:t>
      </w:r>
    </w:p>
    <w:p>
      <w:pPr>
        <w:numPr>
          <w:ilvl w:val="1"/>
          <w:numId w:val="1013"/>
        </w:numPr>
        <w:pStyle w:val="Compact"/>
      </w:pPr>
      <w:r>
        <w:t xml:space="preserve">Mode: Road Freight (LCV)</w:t>
      </w:r>
    </w:p>
    <w:p>
      <w:pPr>
        <w:numPr>
          <w:ilvl w:val="1"/>
          <w:numId w:val="1013"/>
        </w:numPr>
        <w:pStyle w:val="Compact"/>
      </w:pPr>
      <w:r>
        <w:t xml:space="preserve">Distance: 100 km (Assumed)</w:t>
      </w:r>
    </w:p>
    <w:p>
      <w:pPr>
        <w:numPr>
          <w:ilvl w:val="1"/>
          <w:numId w:val="1013"/>
        </w:numPr>
        <w:pStyle w:val="Compact"/>
      </w:pPr>
      <w:r>
        <w:t xml:space="preserve">Emission Factor: 0.2 kgCO2e/tonne-km</w:t>
      </w:r>
    </w:p>
    <w:p>
      <w:pPr>
        <w:numPr>
          <w:ilvl w:val="1"/>
          <w:numId w:val="1013"/>
        </w:numPr>
        <w:pStyle w:val="Compact"/>
      </w:pPr>
      <w:r>
        <w:t xml:space="preserve">Calculation: 0.00067 tonnes * 100 km * 0.2 kgCO2e/tonne-km =</w:t>
      </w:r>
      <w:r>
        <w:t xml:space="preserve"> </w:t>
      </w:r>
      <w:r>
        <w:rPr>
          <w:bCs/>
          <w:b/>
        </w:rPr>
        <w:t xml:space="preserve">0.0134 kgCO2e</w:t>
      </w:r>
    </w:p>
    <w:p>
      <w:pPr>
        <w:numPr>
          <w:ilvl w:val="0"/>
          <w:numId w:val="1011"/>
        </w:numPr>
        <w:pStyle w:val="Compact"/>
      </w:pPr>
      <w:r>
        <w:rPr>
          <w:bCs/>
          <w:b/>
        </w:rPr>
        <w:t xml:space="preserve">Total Upstream Transportation Emissions (Scope 3, Category 4):</w:t>
      </w:r>
      <w:r>
        <w:t xml:space="preserve"> </w:t>
      </w:r>
      <w:r>
        <w:t xml:space="preserve">0.1005 + 0.0134 =</w:t>
      </w:r>
      <w:r>
        <w:t xml:space="preserve"> </w:t>
      </w:r>
      <w:r>
        <w:rPr>
          <w:bCs/>
          <w:b/>
        </w:rPr>
        <w:t xml:space="preserve">0.1139 kgCO2e</w:t>
      </w:r>
    </w:p>
    <w:bookmarkEnd w:id="40"/>
    <w:bookmarkStart w:id="41" w:name="Xa5d66964645b257d4089263a5ad14590986d2c2"/>
    <w:p>
      <w:pPr>
        <w:pStyle w:val="Heading4"/>
      </w:pPr>
      <w:r>
        <w:t xml:space="preserve">3.3.3. Category 11: Use of Sold Products (Energy Consumption)</w:t>
      </w:r>
    </w:p>
    <w:p>
      <w:pPr>
        <w:pStyle w:val="FirstParagraph"/>
      </w:pPr>
      <w:r>
        <w:t xml:space="preserve">This accounts for the electricity consumed by the product during its lifespan.</w:t>
      </w:r>
    </w:p>
    <w:p>
      <w:pPr>
        <w:numPr>
          <w:ilvl w:val="0"/>
          <w:numId w:val="1014"/>
        </w:numPr>
        <w:pStyle w:val="Compact"/>
      </w:pPr>
      <w:r>
        <w:rPr>
          <w:bCs/>
          <w:b/>
        </w:rPr>
        <w:t xml:space="preserve">Product Lifespan:</w:t>
      </w:r>
      <w:r>
        <w:t xml:space="preserve"> </w:t>
      </w:r>
      <w:r>
        <w:t xml:space="preserve">3 years [from rxliiwoxdt]</w:t>
      </w:r>
    </w:p>
    <w:p>
      <w:pPr>
        <w:numPr>
          <w:ilvl w:val="0"/>
          <w:numId w:val="1014"/>
        </w:numPr>
        <w:pStyle w:val="Compact"/>
      </w:pPr>
      <w:r>
        <w:rPr>
          <w:bCs/>
          <w:b/>
        </w:rPr>
        <w:t xml:space="preserve">Annual Energy Consumption:</w:t>
      </w:r>
      <w:r>
        <w:t xml:space="preserve"> </w:t>
      </w:r>
      <w:r>
        <w:t xml:space="preserve">5 kWh/year [from ptrxtgtqwk]</w:t>
      </w:r>
    </w:p>
    <w:p>
      <w:pPr>
        <w:numPr>
          <w:ilvl w:val="0"/>
          <w:numId w:val="1014"/>
        </w:numPr>
        <w:pStyle w:val="Compact"/>
      </w:pPr>
      <w:r>
        <w:rPr>
          <w:bCs/>
          <w:b/>
        </w:rPr>
        <w:t xml:space="preserve">Total Energy Consumption over Lifespan:</w:t>
      </w:r>
      <w:r>
        <w:t xml:space="preserve"> </w:t>
      </w:r>
      <w:r>
        <w:t xml:space="preserve">3 years * 5 kWh/year = 15 kWh</w:t>
      </w:r>
    </w:p>
    <w:p>
      <w:pPr>
        <w:numPr>
          <w:ilvl w:val="0"/>
          <w:numId w:val="1014"/>
        </w:numPr>
        <w:pStyle w:val="Compact"/>
      </w:pPr>
      <w:r>
        <w:rPr>
          <w:bCs/>
          <w:b/>
        </w:rPr>
        <w:t xml:space="preserve">Assumed European Grid Emission Factor:</w:t>
      </w:r>
      <w:r>
        <w:t xml:space="preserve"> </w:t>
      </w:r>
      <w:r>
        <w:t xml:space="preserve">0.25 kgCO2e/kWh (generic average)</w:t>
      </w:r>
    </w:p>
    <w:p>
      <w:pPr>
        <w:numPr>
          <w:ilvl w:val="0"/>
          <w:numId w:val="1014"/>
        </w:numPr>
        <w:pStyle w:val="Compact"/>
      </w:pPr>
      <w:r>
        <w:rPr>
          <w:bCs/>
          <w:b/>
        </w:rPr>
        <w:t xml:space="preserve">Use Phase Emissions:</w:t>
      </w:r>
      <w:r>
        <w:t xml:space="preserve"> </w:t>
      </w:r>
      <w:r>
        <w:t xml:space="preserve">15 kWh * 0.25 kgCO2e/kWh =</w:t>
      </w:r>
      <w:r>
        <w:t xml:space="preserve"> </w:t>
      </w:r>
      <w:r>
        <w:rPr>
          <w:bCs/>
          <w:b/>
        </w:rPr>
        <w:t xml:space="preserve">3.75 kgCO2e</w:t>
      </w:r>
    </w:p>
    <w:bookmarkEnd w:id="41"/>
    <w:bookmarkStart w:id="42" w:name="X9f66eef2700632e081dfe139021cb724ffcd2c5"/>
    <w:p>
      <w:pPr>
        <w:pStyle w:val="Heading4"/>
      </w:pPr>
      <w:r>
        <w:t xml:space="preserve">3.3.4. Category 12: End-of-Life Treatment of Sold Products</w:t>
      </w:r>
    </w:p>
    <w:p>
      <w:pPr>
        <w:pStyle w:val="FirstParagraph"/>
      </w:pPr>
      <w:r>
        <w:t xml:space="preserve">This category considers the emissions and potential credits associated with the disposal and recycling of the product.</w:t>
      </w:r>
    </w:p>
    <w:p>
      <w:pPr>
        <w:numPr>
          <w:ilvl w:val="0"/>
          <w:numId w:val="1015"/>
        </w:numPr>
        <w:pStyle w:val="Compact"/>
      </w:pPr>
      <w:r>
        <w:rPr>
          <w:bCs/>
          <w:b/>
        </w:rPr>
        <w:t xml:space="preserve">Product Mass (recyclable/disposable):</w:t>
      </w:r>
      <w:r>
        <w:t xml:space="preserve"> </w:t>
      </w:r>
      <w:r>
        <w:t xml:space="preserve">0.67 kg</w:t>
      </w:r>
    </w:p>
    <w:p>
      <w:pPr>
        <w:numPr>
          <w:ilvl w:val="0"/>
          <w:numId w:val="1015"/>
        </w:numPr>
        <w:pStyle w:val="Compact"/>
      </w:pPr>
      <w:r>
        <w:rPr>
          <w:bCs/>
          <w:b/>
        </w:rPr>
        <w:t xml:space="preserve">Recyclability Percentage:</w:t>
      </w:r>
      <w:r>
        <w:t xml:space="preserve"> </w:t>
      </w:r>
      <w:r>
        <w:t xml:space="preserve">60% [from lymkopqzxs]</w:t>
      </w:r>
    </w:p>
    <w:p>
      <w:pPr>
        <w:numPr>
          <w:ilvl w:val="0"/>
          <w:numId w:val="1015"/>
        </w:numPr>
        <w:pStyle w:val="Compact"/>
      </w:pPr>
      <w:r>
        <w:rPr>
          <w:bCs/>
          <w:b/>
        </w:rPr>
        <w:t xml:space="preserve">Mass Recycled:</w:t>
      </w:r>
      <w:r>
        <w:t xml:space="preserve"> </w:t>
      </w:r>
      <w:r>
        <w:t xml:space="preserve">0.67 kg * 0.60 = 0.402 kg</w:t>
      </w:r>
    </w:p>
    <w:p>
      <w:pPr>
        <w:numPr>
          <w:ilvl w:val="0"/>
          <w:numId w:val="1015"/>
        </w:numPr>
        <w:pStyle w:val="Compact"/>
      </w:pPr>
      <w:r>
        <w:rPr>
          <w:bCs/>
          <w:b/>
        </w:rPr>
        <w:t xml:space="preserve">Mass Disposed (Landfill):</w:t>
      </w:r>
      <w:r>
        <w:t xml:space="preserve"> </w:t>
      </w:r>
      <w:r>
        <w:t xml:space="preserve">0.67 kg * 0.40 = 0.268 kg</w:t>
      </w:r>
    </w:p>
    <w:p>
      <w:pPr>
        <w:numPr>
          <w:ilvl w:val="0"/>
          <w:numId w:val="1015"/>
        </w:numPr>
        <w:pStyle w:val="Compact"/>
      </w:pPr>
      <w:r>
        <w:rPr>
          <w:bCs/>
          <w:b/>
        </w:rPr>
        <w:t xml:space="preserve">Emissions from Landfilling:</w:t>
      </w:r>
      <w:r>
        <w:t xml:space="preserve"> </w:t>
      </w:r>
      <w:r>
        <w:t xml:space="preserve">0.268 kg * 0.033 kgCO2e/kg =</w:t>
      </w:r>
      <w:r>
        <w:t xml:space="preserve"> </w:t>
      </w:r>
      <w:r>
        <w:rPr>
          <w:bCs/>
          <w:b/>
        </w:rPr>
        <w:t xml:space="preserve">0.0088 kgCO2e</w:t>
      </w:r>
    </w:p>
    <w:p>
      <w:pPr>
        <w:numPr>
          <w:ilvl w:val="0"/>
          <w:numId w:val="1015"/>
        </w:numPr>
        <w:pStyle w:val="Compact"/>
      </w:pPr>
      <w:r>
        <w:rPr>
          <w:bCs/>
          <w:b/>
        </w:rPr>
        <w:t xml:space="preserve">Net Impact from Recycling:</w:t>
      </w:r>
    </w:p>
    <w:p>
      <w:pPr>
        <w:numPr>
          <w:ilvl w:val="1"/>
          <w:numId w:val="1016"/>
        </w:numPr>
        <w:pStyle w:val="Compact"/>
      </w:pPr>
      <w:r>
        <w:t xml:space="preserve">Emissions from recycling process: 0.402 kg * 0.202 kgCO2e/kg = 0.0812 kgCO2e</w:t>
      </w:r>
    </w:p>
    <w:p>
      <w:pPr>
        <w:numPr>
          <w:ilvl w:val="1"/>
          <w:numId w:val="1016"/>
        </w:numPr>
        <w:pStyle w:val="Compact"/>
      </w:pPr>
      <w:r>
        <w:t xml:space="preserve">Avoided virgin material production credit: 0.402 kg * (-2.25 kgCO2e/kg) = -0.9045 kgCO2e</w:t>
      </w:r>
    </w:p>
    <w:p>
      <w:pPr>
        <w:numPr>
          <w:ilvl w:val="1"/>
          <w:numId w:val="1016"/>
        </w:numPr>
        <w:pStyle w:val="Compact"/>
      </w:pPr>
      <w:r>
        <w:t xml:space="preserve">Net Recycling Impact: 0.0812 kgCO2e - 0.9045 kgCO2e =</w:t>
      </w:r>
      <w:r>
        <w:t xml:space="preserve"> </w:t>
      </w:r>
      <w:r>
        <w:rPr>
          <w:bCs/>
          <w:b/>
        </w:rPr>
        <w:t xml:space="preserve">-0.8233 kgCO2e</w:t>
      </w:r>
    </w:p>
    <w:p>
      <w:pPr>
        <w:numPr>
          <w:ilvl w:val="0"/>
          <w:numId w:val="1015"/>
        </w:numPr>
        <w:pStyle w:val="Compact"/>
      </w:pPr>
      <w:r>
        <w:rPr>
          <w:bCs/>
          <w:b/>
        </w:rPr>
        <w:t xml:space="preserve">Total End-of-Life Emissions (Scope 3, Category 12):</w:t>
      </w:r>
      <w:r>
        <w:t xml:space="preserve"> </w:t>
      </w:r>
      <w:r>
        <w:t xml:space="preserve">0.0088 kgCO2e - 0.8233 kgCO2e =</w:t>
      </w:r>
      <w:r>
        <w:t xml:space="preserve"> </w:t>
      </w:r>
      <w:r>
        <w:rPr>
          <w:bCs/>
          <w:b/>
        </w:rPr>
        <w:t xml:space="preserve">-0.8145 kgCO2e</w:t>
      </w:r>
      <w:r>
        <w:t xml:space="preserve"> </w:t>
      </w:r>
      <w:r>
        <w:t xml:space="preserve">(Net credit due to high recyclability and avoided virgin production)</w:t>
      </w:r>
    </w:p>
    <w:p>
      <w:pPr>
        <w:numPr>
          <w:ilvl w:val="0"/>
          <w:numId w:val="1015"/>
        </w:numPr>
        <w:pStyle w:val="Compact"/>
      </w:pPr>
      <w:r>
        <w:rPr>
          <w:bCs/>
          <w:b/>
        </w:rPr>
        <w:t xml:space="preserve">Circular/Take-back Programs:</w:t>
      </w:r>
      <w:r>
        <w:t xml:space="preserve"> </w:t>
      </w:r>
      <w:r>
        <w:t xml:space="preserve">The existence of a "Company-managed product take-back and refurbishment program" [from uhvjzydtzu] indicates an effort towards circularity. This program can further reduce the EoL impact by extending product lifespan or enabling higher-value recovery, although quantitative benefits are not modeled here without specific data.</w:t>
      </w:r>
    </w:p>
    <w:bookmarkEnd w:id="42"/>
    <w:bookmarkEnd w:id="43"/>
    <w:bookmarkStart w:id="44" w:name="summary-of-emissions-by-scope"/>
    <w:p>
      <w:pPr>
        <w:pStyle w:val="Heading3"/>
      </w:pPr>
      <w:r>
        <w:t xml:space="preserve">3.4.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 per functional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operations (assumed negligible)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 (China grid, adjusted for renewables)</w:t>
            </w:r>
          </w:p>
        </w:tc>
        <w:tc>
          <w:tcPr/>
          <w:p>
            <w:pPr>
              <w:pStyle w:val="Compact"/>
              <w:jc w:val="left"/>
            </w:pPr>
            <w:r>
              <w:t xml:space="preserve">4.34</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Upstream Material Acquisition &amp; Processing (from BOM)</w:t>
            </w:r>
          </w:p>
        </w:tc>
        <w:tc>
          <w:tcPr/>
          <w:p>
            <w:pPr>
              <w:pStyle w:val="Compact"/>
              <w:jc w:val="left"/>
            </w:pPr>
            <w:r>
              <w:t xml:space="preserve">4.38</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 (Finished product)</w:t>
            </w:r>
          </w:p>
        </w:tc>
        <w:tc>
          <w:tcPr/>
          <w:p>
            <w:pPr>
              <w:pStyle w:val="Compact"/>
              <w:jc w:val="left"/>
            </w:pPr>
            <w:r>
              <w:t xml:space="preserve">0.11</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 (Energy in use)</w:t>
            </w:r>
          </w:p>
        </w:tc>
        <w:tc>
          <w:tcPr/>
          <w:p>
            <w:pPr>
              <w:pStyle w:val="Compact"/>
              <w:jc w:val="left"/>
            </w:pPr>
            <w:r>
              <w:t xml:space="preserve">3.75</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 (Disposal &amp; Recycling)</w:t>
            </w:r>
          </w:p>
        </w:tc>
        <w:tc>
          <w:tcPr/>
          <w:p>
            <w:pPr>
              <w:pStyle w:val="Compact"/>
              <w:jc w:val="left"/>
            </w:pPr>
            <w:r>
              <w:t xml:space="preserve">-0.81</w:t>
            </w:r>
          </w:p>
        </w:tc>
      </w:tr>
      <w:tr>
        <w:tc>
          <w:tcPr>
            <w:gridSpan w:val="3"/>
          </w:tcPr>
          <w:p>
            <w:pPr>
              <w:pStyle w:val="Compact"/>
              <w:jc w:val="left"/>
            </w:pPr>
            <w:r>
              <w:rPr>
                <w:bCs/>
                <w:b/>
              </w:rPr>
              <w:t xml:space="preserve">Total Product Carbon Footprint:</w:t>
            </w:r>
          </w:p>
        </w:tc>
        <w:tc>
          <w:tcPr/>
          <w:p>
            <w:pPr>
              <w:pStyle w:val="Compact"/>
              <w:jc w:val="left"/>
            </w:pPr>
            <w:r>
              <w:rPr>
                <w:bCs/>
                <w:b/>
              </w:rPr>
              <w:t xml:space="preserve">11.77 kgCO2e</w:t>
            </w:r>
          </w:p>
        </w:tc>
      </w:tr>
    </w:tbl>
    <w:p>
      <w:pPr>
        <w:pStyle w:val="BodyText"/>
      </w:pPr>
      <w:r>
        <w:rPr>
          <w:iCs/>
          <w:i/>
        </w:rPr>
        <w:t xml:space="preserve">Note: All calculations are based on the provided parameters and illustrative emission factors. Values are rounded to two decimal places for presentation, so sum may slightly vary.</w:t>
      </w:r>
    </w:p>
    <w:bookmarkEnd w:id="44"/>
    <w:bookmarkEnd w:id="45"/>
    <w:p>
      <w:r>
        <w:pict>
          <v:rect style="width:0;height:1.5pt" o:hralign="center" o:hrstd="t" o:hr="t"/>
        </w:pict>
      </w:r>
    </w:p>
    <w:bookmarkStart w:id="49" w:name="review-report"/>
    <w:p>
      <w:pPr>
        <w:pStyle w:val="Heading2"/>
      </w:pPr>
      <w:r>
        <w:t xml:space="preserve">4. Review &amp; Report</w:t>
      </w:r>
    </w:p>
    <w:bookmarkStart w:id="46" w:name="emission-hotspots"/>
    <w:p>
      <w:pPr>
        <w:pStyle w:val="Heading3"/>
      </w:pPr>
      <w:r>
        <w:t xml:space="preserve">4.1. Emission Hotspots</w:t>
      </w:r>
    </w:p>
    <w:p>
      <w:pPr>
        <w:pStyle w:val="FirstParagraph"/>
      </w:pPr>
      <w:r>
        <w:t xml:space="preserve">The analysis reveals the following key emission hotspots for xikfwwljjt:</w:t>
      </w:r>
    </w:p>
    <w:p>
      <w:pPr>
        <w:numPr>
          <w:ilvl w:val="0"/>
          <w:numId w:val="1017"/>
        </w:numPr>
        <w:pStyle w:val="Compact"/>
      </w:pPr>
      <w:r>
        <w:rPr>
          <w:bCs/>
          <w:b/>
        </w:rPr>
        <w:t xml:space="preserve">Manufacturing (Scope 2):</w:t>
      </w:r>
      <w:r>
        <w:t xml:space="preserve"> </w:t>
      </w:r>
      <w:r>
        <w:t xml:space="preserve">4.34 kgCO2e (36.9% of total) - Primarily due to the energy intensity of production and reliance on the national grid in China, even with 30% renewable usage.</w:t>
      </w:r>
    </w:p>
    <w:p>
      <w:pPr>
        <w:numPr>
          <w:ilvl w:val="0"/>
          <w:numId w:val="1017"/>
        </w:numPr>
        <w:pStyle w:val="Compact"/>
      </w:pPr>
      <w:r>
        <w:rPr>
          <w:bCs/>
          <w:b/>
        </w:rPr>
        <w:t xml:space="preserve">Upstream Materials (Scope 3, Category 1):</w:t>
      </w:r>
      <w:r>
        <w:t xml:space="preserve"> </w:t>
      </w:r>
      <w:r>
        <w:t xml:space="preserve">4.38 kgCO2e (37.2% of total) - The production of raw materials, particularly the circuit board and lithium-ion battery, contributes significantly to the footprint.</w:t>
      </w:r>
    </w:p>
    <w:p>
      <w:pPr>
        <w:numPr>
          <w:ilvl w:val="0"/>
          <w:numId w:val="1017"/>
        </w:numPr>
        <w:pStyle w:val="Compact"/>
      </w:pPr>
      <w:r>
        <w:rPr>
          <w:bCs/>
          <w:b/>
        </w:rPr>
        <w:t xml:space="preserve">Use Phase (Scope 3, Category 11):</w:t>
      </w:r>
      <w:r>
        <w:t xml:space="preserve"> </w:t>
      </w:r>
      <w:r>
        <w:t xml:space="preserve">3.75 kgCO2e (31.9% of total) - Energy consumption during the product\'s 3-year lifespan is a notable contributor, highlighting the importance of energy efficiency.</w:t>
      </w:r>
    </w:p>
    <w:p>
      <w:pPr>
        <w:pStyle w:val="FirstParagraph"/>
      </w:pPr>
      <w:r>
        <w:t xml:space="preserve">These three stages collectively represent over 100% of the positive emissions, with the end-of-life stage providing a significant net credit.</w:t>
      </w:r>
    </w:p>
    <w:bookmarkEnd w:id="46"/>
    <w:bookmarkStart w:id="47" w:name="reliability-and-limitations"/>
    <w:p>
      <w:pPr>
        <w:pStyle w:val="Heading3"/>
      </w:pPr>
      <w:r>
        <w:t xml:space="preserve">4.2. Reliability and Limitations</w:t>
      </w:r>
    </w:p>
    <w:p>
      <w:pPr>
        <w:pStyle w:val="FirstParagraph"/>
      </w:pPr>
      <w:r>
        <w:t xml:space="preserve">The reliability of this PCF analysis is contingent upon the accuracy and completeness of the input data. Specific limitations include:</w:t>
      </w:r>
    </w:p>
    <w:p>
      <w:pPr>
        <w:numPr>
          <w:ilvl w:val="0"/>
          <w:numId w:val="1018"/>
        </w:numPr>
        <w:pStyle w:val="Compact"/>
      </w:pPr>
      <w:r>
        <w:rPr>
          <w:bCs/>
          <w:b/>
        </w:rPr>
        <w:t xml:space="preserve">Illustrative Data:</w:t>
      </w:r>
      <w:r>
        <w:t xml:space="preserve"> </w:t>
      </w:r>
      <w:r>
        <w:t xml:space="preserve">For parameters provided as literal strings (e.g., `qnvikfnz`, `tdiftkkkfg`), illustrative values and assumptions were made to enable calculation. Real-world data would enhance accuracy.</w:t>
      </w:r>
    </w:p>
    <w:p>
      <w:pPr>
        <w:numPr>
          <w:ilvl w:val="0"/>
          <w:numId w:val="1018"/>
        </w:numPr>
        <w:pStyle w:val="Compact"/>
      </w:pPr>
      <w:r>
        <w:rPr>
          <w:bCs/>
          <w:b/>
        </w:rPr>
        <w:t xml:space="preserve">Emission Factor Generality:</w:t>
      </w:r>
      <w:r>
        <w:t xml:space="preserve"> </w:t>
      </w:r>
      <w:r>
        <w:t xml:space="preserve">Industry-average emission factors from databases (like those referencing Ecoinvent/DEFRA principles) were used where specific primary data was unavailable. These factors may not perfectly reflect the precise conditions of wtjmnqzwow\'s supply chain or manufacturing processes.</w:t>
      </w:r>
    </w:p>
    <w:p>
      <w:pPr>
        <w:numPr>
          <w:ilvl w:val="0"/>
          <w:numId w:val="1018"/>
        </w:numPr>
        <w:pStyle w:val="Compact"/>
      </w:pPr>
      <w:r>
        <w:rPr>
          <w:bCs/>
          <w:b/>
        </w:rPr>
        <w:t xml:space="preserve">Transport Distance Anomaly:</w:t>
      </w:r>
      <w:r>
        <w:t xml:space="preserve"> </w:t>
      </w:r>
      <w:r>
        <w:t xml:space="preserve">The specified transport distance of 1,500 km for a product with "Final Production Country: China, Supply Chain Focus: Europe Focused" is exceptionally short for intercontinental freight. This significantly underestimates the actual transport emissions for such a supply chain. A more realistic China-Europe transport would be substantially higher.</w:t>
      </w:r>
    </w:p>
    <w:p>
      <w:pPr>
        <w:numPr>
          <w:ilvl w:val="0"/>
          <w:numId w:val="1018"/>
        </w:numPr>
        <w:pStyle w:val="Compact"/>
      </w:pPr>
      <w:r>
        <w:rPr>
          <w:bCs/>
          <w:b/>
        </w:rPr>
        <w:t xml:space="preserve">LSR Standard:</w:t>
      </w:r>
      <w:r>
        <w:t xml:space="preserve"> </w:t>
      </w:r>
      <w:r>
        <w:t xml:space="preserve">While acknowledged, specific land-use change or biogenic carbon data were not available for integration into the current calculation.</w:t>
      </w:r>
    </w:p>
    <w:p>
      <w:pPr>
        <w:numPr>
          <w:ilvl w:val="0"/>
          <w:numId w:val="1018"/>
        </w:numPr>
        <w:pStyle w:val="Compact"/>
      </w:pPr>
      <w:r>
        <w:rPr>
          <w:bCs/>
          <w:b/>
        </w:rPr>
        <w:t xml:space="preserve">Scope 3 Coverage:</w:t>
      </w:r>
      <w:r>
        <w:t xml:space="preserve"> </w:t>
      </w:r>
      <w:r>
        <w:t xml:space="preserve">While 95% coverage for Scope 3 is targeted, certain minor categories not explicitly prompted (e.g., business travel, employee commuting, waste from operations) are not quantified in this product-level analysis.</w:t>
      </w:r>
    </w:p>
    <w:bookmarkEnd w:id="47"/>
    <w:bookmarkStart w:id="48" w:name="recommendations-for-improvement"/>
    <w:p>
      <w:pPr>
        <w:pStyle w:val="Heading3"/>
      </w:pPr>
      <w:r>
        <w:t xml:space="preserve">4.3. Recommendations for Improvement</w:t>
      </w:r>
    </w:p>
    <w:p>
      <w:pPr>
        <w:pStyle w:val="FirstParagraph"/>
      </w:pPr>
      <w:r>
        <w:t xml:space="preserve">Based on the identified hotspots, wtjmnqzwow should consider the following to reduce the PCF of xikfwwljjt:</w:t>
      </w:r>
    </w:p>
    <w:p>
      <w:pPr>
        <w:numPr>
          <w:ilvl w:val="0"/>
          <w:numId w:val="1019"/>
        </w:numPr>
        <w:pStyle w:val="Compact"/>
      </w:pPr>
      <w:r>
        <w:rPr>
          <w:bCs/>
          <w:b/>
        </w:rPr>
        <w:t xml:space="preserve">Material Optimization:</w:t>
      </w:r>
      <w:r>
        <w:t xml:space="preserve"> </w:t>
      </w:r>
      <w:r>
        <w:t xml:space="preserve">Investigate alternative materials with lower embodied carbon, focusing on plastics, electronics, and batteries. Engage with suppliers to obtain primary emission data for high-impact components.</w:t>
      </w:r>
    </w:p>
    <w:p>
      <w:pPr>
        <w:numPr>
          <w:ilvl w:val="0"/>
          <w:numId w:val="1019"/>
        </w:numPr>
        <w:pStyle w:val="Compact"/>
      </w:pPr>
      <w:r>
        <w:rPr>
          <w:bCs/>
          <w:b/>
        </w:rPr>
        <w:t xml:space="preserve">Renewable Energy Sourcing:</w:t>
      </w:r>
      <w:r>
        <w:t xml:space="preserve"> </w:t>
      </w:r>
      <w:r>
        <w:t xml:space="preserve">Increase the percentage of renewable energy used in the production facility beyond the current 30% through direct procurement, renewable energy certificates, or on-site generation.</w:t>
      </w:r>
    </w:p>
    <w:p>
      <w:pPr>
        <w:numPr>
          <w:ilvl w:val="0"/>
          <w:numId w:val="1019"/>
        </w:numPr>
        <w:pStyle w:val="Compact"/>
      </w:pPr>
      <w:r>
        <w:rPr>
          <w:bCs/>
          <w:b/>
        </w:rPr>
        <w:t xml:space="preserve">Energy Efficiency in Use:</w:t>
      </w:r>
      <w:r>
        <w:t xml:space="preserve"> </w:t>
      </w:r>
      <w:r>
        <w:t xml:space="preserve">Explore design improvements to reduce the product\'s energy consumption during its use phase. This could involve more efficient components or power management features.</w:t>
      </w:r>
    </w:p>
    <w:p>
      <w:pPr>
        <w:numPr>
          <w:ilvl w:val="0"/>
          <w:numId w:val="1019"/>
        </w:numPr>
        <w:pStyle w:val="Compact"/>
      </w:pPr>
      <w:r>
        <w:rPr>
          <w:bCs/>
          <w:b/>
        </w:rPr>
        <w:t xml:space="preserve">Logistics Optimization:</w:t>
      </w:r>
      <w:r>
        <w:t xml:space="preserve"> </w:t>
      </w:r>
      <w:r>
        <w:t xml:space="preserve">Re-evaluate transportation modes and routes. For intercontinental shipping, prioritize lower-emission options like sea freight where feasible, and optimize load factors.</w:t>
      </w:r>
    </w:p>
    <w:p>
      <w:pPr>
        <w:numPr>
          <w:ilvl w:val="0"/>
          <w:numId w:val="1019"/>
        </w:numPr>
        <w:pStyle w:val="Compact"/>
      </w:pPr>
      <w:r>
        <w:rPr>
          <w:bCs/>
          <w:b/>
        </w:rPr>
        <w:t xml:space="preserve">Circular Economy Initiatives:</w:t>
      </w:r>
      <w:r>
        <w:t xml:space="preserve"> </w:t>
      </w:r>
      <w:r>
        <w:t xml:space="preserve">Further leverage and expand the "Company-managed product take-back and refurbishment program" to maximize material recovery and extend product lifespan, potentially expanding the scope of what is returned and refurbished.</w:t>
      </w:r>
    </w:p>
    <w:bookmarkEnd w:id="48"/>
    <w:bookmarkEnd w:id="49"/>
    <w:p>
      <w:r>
        <w:pict>
          <v:rect style="width:0;height:1.5pt" o:hralign="center" o:hrstd="t" o:hr="t"/>
        </w:pict>
      </w:r>
    </w:p>
    <w:p>
      <w:pPr>
        <w:pStyle w:val="FirstParagraph"/>
      </w:pPr>
      <w:r>
        <w:t xml:space="preserve">Confidential - Internal Use Only | Page 1 of 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xikfwwljjt</dc:title>
  <dc:creator/>
  <dc:description>Detailed Product Carbon Footprint (PCF) analysis report for xikfwwljjt, following GHG Protocol standards, conducted by Senior Sustainability Consultant xfxyqzyunt for wtjmnqzwow.</dc:description>
  <dc:language>en</dc:language>
  <cp:keywords/>
  <dcterms:created xsi:type="dcterms:W3CDTF">2026-05-30T19:25:51Z</dcterms:created>
  <dcterms:modified xsi:type="dcterms:W3CDTF">2026-05-30T19:25:51Z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