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xiiyezeyut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xiiyezeyut</w:t>
      </w:r>
    </w:p>
    <w:p>
      <w:pPr>
        <w:pStyle w:val="BodyText"/>
      </w:pPr>
      <w:r>
        <w:t xml:space="preserve">**Company Name:** khjyunwigv</w:t>
      </w:r>
    </w:p>
    <w:p>
      <w:pPr>
        <w:pStyle w:val="BodyText"/>
      </w:pPr>
      <w:r>
        <w:t xml:space="preserve">**Senior Sustainability Consultant:** mlifmvydkh</w:t>
      </w:r>
    </w:p>
    <w:p>
      <w:pPr>
        <w:pStyle w:val="BodyText"/>
      </w:pPr>
      <w:r>
        <w:t xml:space="preserve">**Accounting Standard:** GHG Protocol</w:t>
      </w:r>
    </w:p>
    <w:p>
      <w:pPr>
        <w:pStyle w:val="BodyText"/>
      </w:pPr>
      <w:r>
        <w:t xml:space="preserve">Disclaimer: This report is generated based on available data and industry standards, employing illustrative values where specific proprietary data was indicated as a placeholder. The accuracy of this analysis relies on the representativeness of these illustrative data points and general emission factors.</w:t>
      </w:r>
    </w:p>
    <w:bookmarkEnd w:id="20"/>
    <w:bookmarkStart w:id="21" w:name="X972e78439a533c6d3fc0da1c0d158cd8f3cdc24"/>
    <w:p>
      <w:pPr>
        <w:pStyle w:val="Heading1"/>
      </w:pPr>
      <w:r>
        <w:t xml:space="preserve">Product Carbon Footprint Analysis for xiiyezeyut</w:t>
      </w:r>
    </w:p>
    <w:p>
      <w:pPr>
        <w:pStyle w:val="FirstParagraph"/>
      </w:pPr>
      <w:r>
        <w:rPr>
          <w:bCs/>
          <w:b/>
        </w:rPr>
        <w:t xml:space="preserve">Generated Date:</w:t>
      </w:r>
      <w:r>
        <w:t xml:space="preserve"> </w:t>
      </w:r>
      <w:r>
        <w:t xml:space="preserve">May 27, 2026</w:t>
      </w:r>
    </w:p>
    <w:p>
      <w:pPr>
        <w:pStyle w:val="BodyText"/>
      </w:pPr>
      <w:r>
        <w:rPr>
          <w:bCs/>
          <w:b/>
        </w:rPr>
        <w:t xml:space="preserve">Prepared by:</w:t>
      </w:r>
      <w:r>
        <w:t xml:space="preserve"> </w:t>
      </w:r>
      <w:r>
        <w:t xml:space="preserve">mlifmvydkh, Senior Sustainability Consultant</w:t>
      </w:r>
    </w:p>
    <w:p>
      <w:pPr>
        <w:pStyle w:val="BodyText"/>
      </w:pPr>
      <w:r>
        <w:rPr>
          <w:bCs/>
          <w:b/>
        </w:rPr>
        <w:t xml:space="preserve">For:</w:t>
      </w:r>
      <w:r>
        <w:t xml:space="preserve"> </w:t>
      </w:r>
      <w:r>
        <w:t xml:space="preserve">khjyunwigv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"xiiyezeyut", manufactured by "khjyunwigv". The assessment was conducted by mlifmvydkh, Senior Sustainability Consultant, adhering strictly to the Greenhouse Gas (GHG) Protocol standards. The analysis covers the entire lifecycle of the product, from raw material acquisition through manufacturing, transport, use, and end-of-life. It incorporates specific company data for materials, energy, logistics, and end-of-life scenarios, categorizing emissions into Scope 1, Scope 2, and Scope 3, and acknowledging the upcoming 2026 Land Sector and Removals (LSR) Standard update and the 95% Scope 3 coverage requirement.</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xiiyezeyut. This defines the quantified performance of the product system for which the environmental impacts are calculated.</w:t>
      </w:r>
    </w:p>
    <w:p>
      <w:pPr>
        <w:numPr>
          <w:ilvl w:val="0"/>
          <w:numId w:val="1001"/>
        </w:numPr>
        <w:pStyle w:val="Compact"/>
      </w:pPr>
      <w:r>
        <w:rPr>
          <w:bCs/>
          <w:b/>
        </w:rPr>
        <w:t xml:space="preserve">System Boundary:</w:t>
      </w:r>
      <w:r>
        <w:t xml:space="preserve"> </w:t>
      </w:r>
      <w:r>
        <w:t xml:space="preserve">Factory-gate to grave. This cradle-to-grave approach includes all lifecycle stages: raw material extraction and processing, manufacturing, transport to end-user, product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impacts assumptions for upstream transport and potential end-user locations.</w:t>
      </w:r>
    </w:p>
    <w:p>
      <w:pPr>
        <w:numPr>
          <w:ilvl w:val="0"/>
          <w:numId w:val="1001"/>
        </w:numPr>
        <w:pStyle w:val="Compact"/>
      </w:pPr>
      <w:r>
        <w:rPr>
          <w:bCs/>
          <w:b/>
        </w:rPr>
        <w:t xml:space="preserve">Accounting Standard:</w:t>
      </w:r>
      <w:r>
        <w:t xml:space="preserve"> </w:t>
      </w:r>
      <w:r>
        <w:t xml:space="preserve">Greenhouse Gas (GHG) Protocol. Emissions are categorized into Scope 1, 2, and 3 as per the GHG Protocol Corporate Value Chain (Scope 3) Accounting and Reporting Standard.</w:t>
      </w:r>
    </w:p>
    <w:p>
      <w:pPr>
        <w:numPr>
          <w:ilvl w:val="0"/>
          <w:numId w:val="1001"/>
        </w:numPr>
        <w:pStyle w:val="Compact"/>
      </w:pPr>
      <w:r>
        <w:rPr>
          <w:bCs/>
          <w:b/>
        </w:rPr>
        <w:t xml:space="preserve">Allocation:</w:t>
      </w:r>
      <w:r>
        <w:t xml:space="preserve"> </w:t>
      </w:r>
      <w:r>
        <w:t xml:space="preserve">All identified emissions are directly allocated to the functional unit (1.0 unit of xiiyezeyut) as this is a product-specific assessment.</w:t>
      </w:r>
    </w:p>
    <w:bookmarkEnd w:id="23"/>
    <w:p>
      <w:r>
        <w:pict>
          <v:rect style="width:0;height:1.5pt" o:hralign="center" o:hrstd="t" o:hr="t"/>
        </w:pict>
      </w:r>
    </w:p>
    <w:bookmarkStart w:id="29" w:name="lifecycle-mapping-3.-data-collection"/>
    <w:p>
      <w:pPr>
        <w:pStyle w:val="Heading2"/>
      </w:pPr>
      <w:r>
        <w:t xml:space="preserve">2. Lifecycle Mapping &amp; 3. Data Collection</w:t>
      </w:r>
    </w:p>
    <w:p>
      <w:pPr>
        <w:pStyle w:val="FirstParagraph"/>
      </w:pPr>
      <w:r>
        <w:t xml:space="preserve">The lifecycle of xiiyezeyut is mapped across key stages, and data is collected from both primary (provided parameters) and secondary (industry-standard emission factors) sources. Illustrative values are used where specific proprietary data was indicated as a placeholder in the parameters provided.</w:t>
      </w:r>
    </w:p>
    <w:bookmarkStart w:id="24" w:name="X1428ec1d1885feb992205144a5c6ed055eb01cb"/>
    <w:p>
      <w:pPr>
        <w:pStyle w:val="Heading3"/>
      </w:pPr>
      <w:r>
        <w:t xml:space="preserve">Material Inputs (Detailed Bill of Materials - BOM)</w:t>
      </w:r>
    </w:p>
    <w:p>
      <w:pPr>
        <w:pStyle w:val="FirstParagraph"/>
      </w:pPr>
      <w:r>
        <w:t xml:space="preserve">The Bill of Materials (BOM) for xiiyezeyut provides a high-accuracy basis for material impact calculations. The "Total Carbon" values are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(Recycled Content 30%)</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Packaging Cardboard (Recycled)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Emissions from Materials: 2.30 kg CO2e</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hotuptkiuu (e.g., 75%)</w:t>
      </w:r>
    </w:p>
    <w:p>
      <w:pPr>
        <w:numPr>
          <w:ilvl w:val="0"/>
          <w:numId w:val="1003"/>
        </w:numPr>
        <w:pStyle w:val="Compact"/>
      </w:pPr>
      <w:r>
        <w:rPr>
          <w:bCs/>
          <w:b/>
        </w:rPr>
        <w:t xml:space="preserve">Energy Intensity (kWh/unit):</w:t>
      </w:r>
      <w:r>
        <w:t xml:space="preserve"> </w:t>
      </w:r>
      <w:r>
        <w:t xml:space="preserve">kmtpvmwghj (e.g., 15 kWh/unit)</w:t>
      </w:r>
    </w:p>
    <w:p>
      <w:pPr>
        <w:numPr>
          <w:ilvl w:val="0"/>
          <w:numId w:val="1003"/>
        </w:numPr>
        <w:pStyle w:val="Compact"/>
      </w:pPr>
      <w:r>
        <w:rPr>
          <w:bCs/>
          <w:b/>
        </w:rPr>
        <w:t xml:space="preserve">Grid Electricity Emission Factor (China):</w:t>
      </w:r>
      <w:r>
        <w:t xml:space="preserve"> </w:t>
      </w:r>
      <w:r>
        <w:t xml:space="preserve">An average of 0.56 kg CO2e/kWh is used for China\'s grid electricity mix, based on recent national average emission factors.</w:t>
      </w:r>
    </w:p>
    <w:bookmarkEnd w:id="25"/>
    <w:bookmarkStart w:id="26" w:name="logistics-data-supply-chain"/>
    <w:p>
      <w:pPr>
        <w:pStyle w:val="Heading3"/>
      </w:pPr>
      <w:r>
        <w:t xml:space="preserve">Logistics Data (Supply Chain)</w:t>
      </w:r>
    </w:p>
    <w:p>
      <w:pPr>
        <w:numPr>
          <w:ilvl w:val="0"/>
          <w:numId w:val="1004"/>
        </w:numPr>
        <w:pStyle w:val="Compact"/>
      </w:pPr>
      <w:r>
        <w:rPr>
          <w:bCs/>
          <w:b/>
        </w:rPr>
        <w:t xml:space="preserve">Transport Mode (Primary):</w:t>
      </w:r>
      <w:r>
        <w:t xml:space="preserve"> </w:t>
      </w:r>
      <w:r>
        <w:t xml:space="preserve">Select Mode (e.g., Road Freight - Heavy Goods Vehicle &gt;20t)</w:t>
      </w:r>
    </w:p>
    <w:p>
      <w:pPr>
        <w:numPr>
          <w:ilvl w:val="0"/>
          <w:numId w:val="1004"/>
        </w:numPr>
        <w:pStyle w:val="Compact"/>
      </w:pPr>
      <w:r>
        <w:rPr>
          <w:bCs/>
          <w:b/>
        </w:rPr>
        <w:t xml:space="preserve">Transport Distance (Primary):</w:t>
      </w:r>
      <w:r>
        <w:t xml:space="preserve"> </w:t>
      </w:r>
      <w:r>
        <w:t xml:space="preserve">ypzhpsiwou (e.g., 1500 km)</w:t>
      </w:r>
    </w:p>
    <w:p>
      <w:pPr>
        <w:numPr>
          <w:ilvl w:val="0"/>
          <w:numId w:val="1004"/>
        </w:numPr>
        <w:pStyle w:val="Compact"/>
      </w:pPr>
      <w:r>
        <w:rPr>
          <w:bCs/>
          <w:b/>
        </w:rPr>
        <w:t xml:space="preserve">Last-Mile Delivery Channel:</w:t>
      </w:r>
      <w:r>
        <w:t xml:space="preserve"> </w:t>
      </w:r>
      <w:r>
        <w:t xml:space="preserve">Delivery Type (e.g., Parcel Courier - Light Commercial Vehicle)</w:t>
      </w:r>
    </w:p>
    <w:p>
      <w:pPr>
        <w:numPr>
          <w:ilvl w:val="0"/>
          <w:numId w:val="1004"/>
        </w:numPr>
        <w:pStyle w:val="Compact"/>
      </w:pPr>
      <w:r>
        <w:rPr>
          <w:bCs/>
          <w:b/>
        </w:rPr>
        <w:t xml:space="preserve">Product Total Mass for Transport:</w:t>
      </w:r>
      <w:r>
        <w:t xml:space="preserve"> </w:t>
      </w:r>
      <w:r>
        <w:t xml:space="preserve">Approximately 0.87 kg (sum of material quantities)</w:t>
      </w:r>
    </w:p>
    <w:p>
      <w:pPr>
        <w:numPr>
          <w:ilvl w:val="0"/>
          <w:numId w:val="1004"/>
        </w:numPr>
        <w:pStyle w:val="Compact"/>
      </w:pPr>
      <w:r>
        <w:rPr>
          <w:bCs/>
          <w:b/>
        </w:rPr>
        <w:t xml:space="preserve">Emission Factor for Road Freight (Europe):</w:t>
      </w:r>
      <w:r>
        <w:t xml:space="preserve"> </w:t>
      </w:r>
      <w:r>
        <w:t xml:space="preserve">Approximately 0.09 kg CO2e/tonne-km for HGV (&gt;20t).</w:t>
      </w:r>
    </w:p>
    <w:p>
      <w:pPr>
        <w:numPr>
          <w:ilvl w:val="0"/>
          <w:numId w:val="1004"/>
        </w:numPr>
        <w:pStyle w:val="Compact"/>
      </w:pPr>
      <w:r>
        <w:rPr>
          <w:bCs/>
          <w:b/>
        </w:rPr>
        <w:t xml:space="preserve">Emission Factor for Last-Mile Delivery (per unit):</w:t>
      </w:r>
      <w:r>
        <w:t xml:space="preserve"> </w:t>
      </w:r>
      <w:r>
        <w:t xml:space="preserve">Approximately 0.2 kg CO2e/unit for parcel courier service.</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hmdjvrdttv (e.g., 5 years)</w:t>
      </w:r>
    </w:p>
    <w:p>
      <w:pPr>
        <w:numPr>
          <w:ilvl w:val="0"/>
          <w:numId w:val="1005"/>
        </w:numPr>
        <w:pStyle w:val="Compact"/>
      </w:pPr>
      <w:r>
        <w:rPr>
          <w:bCs/>
          <w:b/>
        </w:rPr>
        <w:t xml:space="preserve">Energy Consumption in Use:</w:t>
      </w:r>
      <w:r>
        <w:t xml:space="preserve"> </w:t>
      </w:r>
      <w:r>
        <w:t xml:space="preserve">jozelnfwzq (e.g., 10 kWh/year)</w:t>
      </w:r>
    </w:p>
    <w:p>
      <w:pPr>
        <w:numPr>
          <w:ilvl w:val="0"/>
          <w:numId w:val="1005"/>
        </w:numPr>
        <w:pStyle w:val="Compact"/>
      </w:pPr>
      <w:r>
        <w:rPr>
          <w:bCs/>
          <w:b/>
        </w:rPr>
        <w:t xml:space="preserve">Grid Electricity Emission Factor (Europe - for end-user):</w:t>
      </w:r>
      <w:r>
        <w:t xml:space="preserve"> </w:t>
      </w:r>
      <w:r>
        <w:t xml:space="preserve">Approximately 0.24 kg CO2e/kWh for the European Union grid mix.</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rlnrekfpln (e.g., 80%)</w:t>
      </w:r>
    </w:p>
    <w:p>
      <w:pPr>
        <w:numPr>
          <w:ilvl w:val="0"/>
          <w:numId w:val="1006"/>
        </w:numPr>
        <w:pStyle w:val="Compact"/>
      </w:pPr>
      <w:r>
        <w:rPr>
          <w:bCs/>
          <w:b/>
        </w:rPr>
        <w:t xml:space="preserve">Circular/Take-back Programs:</w:t>
      </w:r>
      <w:r>
        <w:t xml:space="preserve"> </w:t>
      </w:r>
      <w:r>
        <w:t xml:space="preserve">hmgyorsolh (e.g., Yes, via partner network)</w:t>
      </w:r>
    </w:p>
    <w:p>
      <w:pPr>
        <w:numPr>
          <w:ilvl w:val="0"/>
          <w:numId w:val="1006"/>
        </w:numPr>
        <w:pStyle w:val="Compact"/>
      </w:pPr>
      <w:r>
        <w:rPr>
          <w:bCs/>
          <w:b/>
        </w:rPr>
        <w:t xml:space="preserve">Landfill Emission Factor (for non-recyclable portion):</w:t>
      </w:r>
      <w:r>
        <w:t xml:space="preserve"> </w:t>
      </w:r>
      <w:r>
        <w:t xml:space="preserve">Approximately 0.1 kg CO2e/kg for general waste to landfill.</w:t>
      </w:r>
    </w:p>
    <w:bookmarkEnd w:id="28"/>
    <w:bookmarkEnd w:id="29"/>
    <w:p>
      <w:r>
        <w:pict>
          <v:rect style="width:0;height:1.5pt" o:hralign="center" o:hrstd="t" o:hr="t"/>
        </w:pict>
      </w:r>
    </w:p>
    <w:bookmarkStart w:id="38" w:name="emissions-calculation"/>
    <w:p>
      <w:pPr>
        <w:pStyle w:val="Heading2"/>
      </w:pPr>
      <w:r>
        <w:t xml:space="preserve">4. Emissions Calculation</w:t>
      </w:r>
    </w:p>
    <w:p>
      <w:pPr>
        <w:pStyle w:val="FirstParagraph"/>
      </w:pPr>
      <w:r>
        <w:t xml:space="preserve">Emissions are calculated by multiplying activity data (e.g., kg of material, kWh of energy, tonne-km of transport) by relevant emission factors. Industry-standard emission factors (e.g., from Ecoinvent/DEFRA) are used, with specific values as detailed in the data collection section.</w:t>
      </w:r>
    </w:p>
    <w:bookmarkStart w:id="30" w:name="categorization-by-ghg-protocol-scopes"/>
    <w:p>
      <w:pPr>
        <w:pStyle w:val="Heading3"/>
      </w:pPr>
      <w:r>
        <w:t xml:space="preserve">Categorization by GHG Protocol Scopes</w:t>
      </w:r>
    </w:p>
    <w:p>
      <w:pPr>
        <w:pStyle w:val="FirstParagraph"/>
      </w:pPr>
      <w:r>
        <w:t xml:space="preserve">Emissions are categorized as per the GHG Protocol definitions:</w:t>
      </w:r>
    </w:p>
    <w:p>
      <w:pPr>
        <w:numPr>
          <w:ilvl w:val="0"/>
          <w:numId w:val="1007"/>
        </w:numPr>
        <w:pStyle w:val="Compact"/>
      </w:pPr>
      <w:r>
        <w:rPr>
          <w:bCs/>
          <w:b/>
        </w:rPr>
        <w:t xml:space="preserve">Scope 1: Direct GHG Emissions</w:t>
      </w:r>
      <w:r>
        <w:t xml:space="preserve"> </w:t>
      </w:r>
      <w:r>
        <w:t xml:space="preserve">from sources owned or controlled by the company.</w:t>
      </w:r>
    </w:p>
    <w:p>
      <w:pPr>
        <w:numPr>
          <w:ilvl w:val="0"/>
          <w:numId w:val="1007"/>
        </w:numPr>
        <w:pStyle w:val="Compact"/>
      </w:pPr>
      <w:r>
        <w:rPr>
          <w:bCs/>
          <w:b/>
        </w:rPr>
        <w:t xml:space="preserve">Scope 2: Indirect GHG Emissions from Purchased Energy</w:t>
      </w:r>
      <w:r>
        <w:t xml:space="preserve"> </w:t>
      </w:r>
      <w:r>
        <w:t xml:space="preserve">(e.g., electricity, heat, steam, cooling).</w:t>
      </w:r>
    </w:p>
    <w:p>
      <w:pPr>
        <w:numPr>
          <w:ilvl w:val="0"/>
          <w:numId w:val="1007"/>
        </w:numPr>
        <w:pStyle w:val="Compact"/>
      </w:pPr>
      <w:r>
        <w:rPr>
          <w:bCs/>
          <w:b/>
        </w:rPr>
        <w:t xml:space="preserve">Scope 3: Other Indirect GHG Emissions</w:t>
      </w:r>
      <w:r>
        <w:t xml:space="preserve"> </w:t>
      </w:r>
      <w:r>
        <w:t xml:space="preserve">occurring in the value chain of the reporting company (both upstream and downstream). The GHG Protocol Corporate Value Chain (Scope 3) Accounting and Reporting Standard categorizes these into 15 types.</w:t>
      </w:r>
    </w:p>
    <w:bookmarkEnd w:id="30"/>
    <w:bookmarkStart w:id="34" w:name="Xc588ca598337a1241788a28458443162404e20f"/>
    <w:p>
      <w:pPr>
        <w:pStyle w:val="Heading3"/>
      </w:pPr>
      <w:r>
        <w:t xml:space="preserve">Illustrative Emissions Breakdown for xiiyezeyut</w:t>
      </w:r>
    </w:p>
    <w:p>
      <w:pPr>
        <w:pStyle w:val="FirstParagraph"/>
      </w:pPr>
      <w:r>
        <w:t xml:space="preserve">All values are in kg CO2e per functional unit (1.0 unit of xiiyezeyut).</w:t>
      </w:r>
    </w:p>
    <w:bookmarkStart w:id="31" w:name="scope-1-emissions"/>
    <w:p>
      <w:pPr>
        <w:pStyle w:val="Heading4"/>
      </w:pPr>
      <w:r>
        <w:t xml:space="preserve">Scope 1 Emissions</w:t>
      </w:r>
    </w:p>
    <w:p>
      <w:pPr>
        <w:numPr>
          <w:ilvl w:val="0"/>
          <w:numId w:val="1008"/>
        </w:numPr>
        <w:pStyle w:val="Compact"/>
      </w:pPr>
      <w:r>
        <w:t xml:space="preserve">Direct Operations (e.g., minor on-site fuel combustion for machinery): 0.05 kg CO2e (Illustrative placeholder, assuming minimal direct emissions from manufacturing)</w:t>
      </w:r>
    </w:p>
    <w:p>
      <w:pPr>
        <w:pStyle w:val="FirstParagraph"/>
      </w:pPr>
      <w:r>
        <w:rPr>
          <w:bCs/>
          <w:b/>
        </w:rPr>
        <w:t xml:space="preserve">Total Scope 1 Emissions: 0.05 kg CO2e</w:t>
      </w:r>
    </w:p>
    <w:bookmarkEnd w:id="31"/>
    <w:bookmarkStart w:id="32" w:name="scope-2-emissions"/>
    <w:p>
      <w:pPr>
        <w:pStyle w:val="Heading4"/>
      </w:pPr>
      <w:r>
        <w:t xml:space="preserve">Scope 2 Emissions</w:t>
      </w:r>
    </w:p>
    <w:p>
      <w:pPr>
        <w:numPr>
          <w:ilvl w:val="0"/>
          <w:numId w:val="1009"/>
        </w:numPr>
        <w:pStyle w:val="Compact"/>
      </w:pPr>
      <w:r>
        <w:t xml:space="preserve">Purchased Electricity for Production (Non-renewable portion):</w:t>
      </w:r>
      <w:r>
        <w:br/>
      </w:r>
      <w:r>
        <w:t xml:space="preserve">15 kWh/unit * (1 - 0.75 renewable share) * 0.56 kg CO2e/kWh (China grid) = 2.10 kg CO2e</w:t>
      </w:r>
    </w:p>
    <w:p>
      <w:pPr>
        <w:pStyle w:val="FirstParagraph"/>
      </w:pPr>
      <w:r>
        <w:rPr>
          <w:bCs/>
          <w:b/>
        </w:rPr>
        <w:t xml:space="preserve">Total Scope 2 Emissions: 2.10 kg CO2e</w:t>
      </w:r>
    </w:p>
    <w:bookmarkEnd w:id="32"/>
    <w:bookmarkStart w:id="33" w:name="scope-3-emissions-value-chain"/>
    <w:p>
      <w:pPr>
        <w:pStyle w:val="Heading4"/>
      </w:pPr>
      <w:r>
        <w:t xml:space="preserve">Scope 3 Emissions (Value Chain)</w:t>
      </w:r>
    </w:p>
    <w:p>
      <w:pPr>
        <w:numPr>
          <w:ilvl w:val="0"/>
          <w:numId w:val="1010"/>
        </w:numPr>
        <w:pStyle w:val="Compact"/>
      </w:pPr>
      <w:r>
        <w:rPr>
          <w:bCs/>
          <w:b/>
        </w:rPr>
        <w:t xml:space="preserve">Category 1: Purchased Goods and Services (Materials):</w:t>
      </w:r>
      <w:r>
        <w:br/>
      </w:r>
      <w:r>
        <w:t xml:space="preserve">Sum of Total Carbon from BOM: 2.30 kg CO2e</w:t>
      </w:r>
    </w:p>
    <w:p>
      <w:pPr>
        <w:numPr>
          <w:ilvl w:val="0"/>
          <w:numId w:val="1010"/>
        </w:numPr>
        <w:pStyle w:val="Compact"/>
      </w:pPr>
      <w:r>
        <w:rPr>
          <w:bCs/>
          <w:b/>
        </w:rPr>
        <w:t xml:space="preserve">Category 4: Upstream Transportation and Distribution:</w:t>
      </w:r>
      <w:r>
        <w:br/>
      </w:r>
      <w:r>
        <w:t xml:space="preserve">Primary Transport (Road Freight): 0.00087 tonnes * 1500 km * 0.09 kg CO2e/tonne-km = 0.117 kg CO2e</w:t>
      </w:r>
    </w:p>
    <w:p>
      <w:pPr>
        <w:numPr>
          <w:ilvl w:val="0"/>
          <w:numId w:val="1010"/>
        </w:numPr>
        <w:pStyle w:val="Compact"/>
      </w:pPr>
      <w:r>
        <w:rPr>
          <w:bCs/>
          <w:b/>
        </w:rPr>
        <w:t xml:space="preserve">Category 9: Downstream Transportation and Distribution:</w:t>
      </w:r>
      <w:r>
        <w:br/>
      </w:r>
      <w:r>
        <w:t xml:space="preserve">Last-Mile Delivery (Parcel Courier): 0.20 kg CO2e (per unit, illustrative)</w:t>
      </w:r>
    </w:p>
    <w:p>
      <w:pPr>
        <w:numPr>
          <w:ilvl w:val="0"/>
          <w:numId w:val="1010"/>
        </w:numPr>
        <w:pStyle w:val="Compact"/>
      </w:pPr>
      <w:r>
        <w:rPr>
          <w:bCs/>
          <w:b/>
        </w:rPr>
        <w:t xml:space="preserve">Category 11: Use of Sold Products:</w:t>
      </w:r>
      <w:r>
        <w:br/>
      </w:r>
      <w:r>
        <w:t xml:space="preserve">Product Use Phase Electricity: 5 years * 10 kWh/year * 0.24 kg CO2e/kWh (Europe grid) = 12.00 kg CO2e</w:t>
      </w:r>
    </w:p>
    <w:p>
      <w:pPr>
        <w:numPr>
          <w:ilvl w:val="0"/>
          <w:numId w:val="1010"/>
        </w:numPr>
        <w:pStyle w:val="Compact"/>
      </w:pPr>
      <w:r>
        <w:rPr>
          <w:bCs/>
          <w:b/>
        </w:rPr>
        <w:t xml:space="preserve">Category 12: End-of-Life Treatment of Sold Products:</w:t>
      </w:r>
      <w:r>
        <w:br/>
      </w:r>
      <w:r>
        <w:t xml:space="preserve">Waste to Landfill (non-recyclable portion): 0.174 kg (product mass * 20%) * 0.1 kg CO2e/kg = 0.017 kg CO2e</w:t>
      </w:r>
    </w:p>
    <w:p>
      <w:pPr>
        <w:pStyle w:val="FirstParagraph"/>
      </w:pPr>
      <w:r>
        <w:rPr>
          <w:bCs/>
          <w:b/>
        </w:rPr>
        <w:t xml:space="preserve">Total Scope 3 Emissions: 2.30 + 0.117 + 0.20 + 12.00 + 0.017 = 14.634 kg CO2e</w:t>
      </w:r>
    </w:p>
    <w:bookmarkEnd w:id="33"/>
    <w:bookmarkEnd w:id="34"/>
    <w:bookmarkStart w:id="35" w:name="Xf0286fcb179ac7448ffabc0dc7e4b33679e7809"/>
    <w:p>
      <w:pPr>
        <w:pStyle w:val="Heading3"/>
      </w:pPr>
      <w:r>
        <w:t xml:space="preserve">Total Product Carbon Footprint (PCF) for xiiyezeyut</w:t>
      </w:r>
    </w:p>
    <w:p>
      <w:pPr>
        <w:pStyle w:val="FirstParagraph"/>
      </w:pPr>
      <w:r>
        <w:rPr>
          <w:bCs/>
          <w:b/>
        </w:rPr>
        <w:t xml:space="preserve">Total PCF = Scope 1 + Scope 2 + Scope 3</w:t>
      </w:r>
    </w:p>
    <w:p>
      <w:pPr>
        <w:pStyle w:val="BodyText"/>
      </w:pPr>
      <w:r>
        <w:rPr>
          <w:bCs/>
          <w:b/>
        </w:rPr>
        <w:t xml:space="preserve">Total PCF = 0.05 + 2.10 + 14.634 = 16.784 kg CO2e per unit</w:t>
      </w:r>
    </w:p>
    <w:bookmarkEnd w:id="35"/>
    <w:bookmarkStart w:id="36"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comprehensive accounting requirements for land emissions and CO2 removals, including technological removals. While specific land-use related emissions or removals were not explicitly provided for "xiiyezeyut", it is crucial for khjyunwigv to consider the LSR Standard for future reporting, especially if its value chain involves agricultural products, forestry, or direct carbon removal technologies. The accompanying guidance, expected in Q2 2026, will provide further implementation details.</w:t>
      </w:r>
    </w:p>
    <w:bookmarkEnd w:id="36"/>
    <w:bookmarkStart w:id="37" w:name="scope-3-compliance-2026-requirements"/>
    <w:p>
      <w:pPr>
        <w:pStyle w:val="Heading3"/>
      </w:pPr>
      <w:r>
        <w:t xml:space="preserve">Scope 3 Compliance (2026 Requirements)</w:t>
      </w:r>
    </w:p>
    <w:p>
      <w:pPr>
        <w:pStyle w:val="FirstParagraph"/>
      </w:pPr>
      <w:r>
        <w:t xml:space="preserve">The GHG Protocol\'s 2026 revisions to the Scope 3 Standard emphasize enhanced completeness and transparency. A key proposal is the requirement for companies to report at least 95% of their total required Scope 3 emissions, allowing for no more than a 5% exclusion threshold. This analysis aims for robust coverage across all material Scope 3 categories to meet or exceed these forthcoming requirements, ensuring that all major emission sources in the value chain are accounted for.</w:t>
      </w:r>
    </w:p>
    <w:bookmarkEnd w:id="37"/>
    <w:bookmarkEnd w:id="38"/>
    <w:p>
      <w:r>
        <w:pict>
          <v:rect style="width:0;height:1.5pt" o:hralign="center" o:hrstd="t" o:hr="t"/>
        </w:pict>
      </w:r>
    </w:p>
    <w:bookmarkStart w:id="41" w:name="review-report"/>
    <w:p>
      <w:pPr>
        <w:pStyle w:val="Heading2"/>
      </w:pPr>
      <w:r>
        <w:t xml:space="preserve">5. Review &amp; Report</w:t>
      </w:r>
    </w:p>
    <w:bookmarkStart w:id="39" w:name="hotspots-analysis"/>
    <w:p>
      <w:pPr>
        <w:pStyle w:val="Heading3"/>
      </w:pPr>
      <w:r>
        <w:t xml:space="preserve">Hotspots Analysis</w:t>
      </w:r>
    </w:p>
    <w:p>
      <w:pPr>
        <w:pStyle w:val="FirstParagraph"/>
      </w:pPr>
      <w:r>
        <w:t xml:space="preserve">Based on the illustrative calculations, the primary carbon hotspots for "xiiyezeyut" are:</w:t>
      </w:r>
    </w:p>
    <w:p>
      <w:pPr>
        <w:numPr>
          <w:ilvl w:val="0"/>
          <w:numId w:val="1011"/>
        </w:numPr>
        <w:pStyle w:val="Compact"/>
      </w:pPr>
      <w:r>
        <w:rPr>
          <w:bCs/>
          <w:b/>
        </w:rPr>
        <w:t xml:space="preserve">Use Phase (Scope 3, Category 11):</w:t>
      </w:r>
      <w:r>
        <w:t xml:space="preserve"> </w:t>
      </w:r>
      <w:r>
        <w:t xml:space="preserve">Constitutes the largest portion of the PCF (approx. 71%), primarily due to the energy consumption of the product over its 5-year lifespan. This highlights the importance of energy-efficient design and the grid mix of end-users.</w:t>
      </w:r>
    </w:p>
    <w:p>
      <w:pPr>
        <w:numPr>
          <w:ilvl w:val="0"/>
          <w:numId w:val="1011"/>
        </w:numPr>
        <w:pStyle w:val="Compact"/>
      </w:pPr>
      <w:r>
        <w:rPr>
          <w:bCs/>
          <w:b/>
        </w:rPr>
        <w:t xml:space="preserve">Purchased Goods and Services (Scope 3, Category 1):</w:t>
      </w:r>
      <w:r>
        <w:t xml:space="preserve"> </w:t>
      </w:r>
      <w:r>
        <w:t xml:space="preserve">Materials account for approximately 14% of the PCF. Focus on low-carbon materials, especially for components like aluminum and plastics, is critical.</w:t>
      </w:r>
    </w:p>
    <w:p>
      <w:pPr>
        <w:numPr>
          <w:ilvl w:val="0"/>
          <w:numId w:val="1011"/>
        </w:numPr>
        <w:pStyle w:val="Compact"/>
      </w:pPr>
      <w:r>
        <w:rPr>
          <w:bCs/>
          <w:b/>
        </w:rPr>
        <w:t xml:space="preserve">Production Electricity (Scope 2):</w:t>
      </w:r>
      <w:r>
        <w:t xml:space="preserve"> </w:t>
      </w:r>
      <w:r>
        <w:t xml:space="preserve">Represents approximately 12.5% of the PCF. The high renewable energy usage (75%) significantly mitigates this impact; without it, this share would be much higher, given China\'s grid emission factor.</w:t>
      </w:r>
    </w:p>
    <w:bookmarkEnd w:id="39"/>
    <w:bookmarkStart w:id="40" w:name="reliability-recommendations"/>
    <w:p>
      <w:pPr>
        <w:pStyle w:val="Heading3"/>
      </w:pPr>
      <w:r>
        <w:t xml:space="preserve">Reliability &amp; Recommendations</w:t>
      </w:r>
    </w:p>
    <w:p>
      <w:pPr>
        <w:pStyle w:val="FirstParagraph"/>
      </w:pPr>
      <w:r>
        <w:t xml:space="preserve">The reliability of this PCF analysis is contingent upon the accuracy of the primary data provided and the representativeness of the secondary emission factors used. To enhance accuracy:</w:t>
      </w:r>
    </w:p>
    <w:p>
      <w:pPr>
        <w:numPr>
          <w:ilvl w:val="0"/>
          <w:numId w:val="1012"/>
        </w:numPr>
        <w:pStyle w:val="Compact"/>
      </w:pPr>
      <w:r>
        <w:rPr>
          <w:bCs/>
          <w:b/>
        </w:rPr>
        <w:t xml:space="preserve">Primary Data Collection:</w:t>
      </w:r>
      <w:r>
        <w:t xml:space="preserve"> </w:t>
      </w:r>
      <w:r>
        <w:t xml:space="preserve">Implement robust systems for collecting primary data directly from suppliers for materials and upstream processes, especially for high-impact components.</w:t>
      </w:r>
    </w:p>
    <w:p>
      <w:pPr>
        <w:numPr>
          <w:ilvl w:val="0"/>
          <w:numId w:val="1012"/>
        </w:numPr>
        <w:pStyle w:val="Compact"/>
      </w:pPr>
      <w:r>
        <w:rPr>
          <w:bCs/>
          <w:b/>
        </w:rPr>
        <w:t xml:space="preserve">Granular Energy Data:</w:t>
      </w:r>
      <w:r>
        <w:t xml:space="preserve"> </w:t>
      </w:r>
      <w:r>
        <w:t xml:space="preserve">Obtain more granular data on the specific energy mix and efficiency of manufacturing facilities within China.</w:t>
      </w:r>
    </w:p>
    <w:p>
      <w:pPr>
        <w:numPr>
          <w:ilvl w:val="0"/>
          <w:numId w:val="1012"/>
        </w:numPr>
        <w:pStyle w:val="Compact"/>
      </w:pPr>
      <w:r>
        <w:rPr>
          <w:bCs/>
          <w:b/>
        </w:rPr>
        <w:t xml:space="preserve">Logistics Optimization:</w:t>
      </w:r>
      <w:r>
        <w:t xml:space="preserve"> </w:t>
      </w:r>
      <w:r>
        <w:t xml:space="preserve">Further analyze transport routes, modes, and load factors to optimize efficiency and minimize emissions, particularly for longer distances.</w:t>
      </w:r>
    </w:p>
    <w:p>
      <w:pPr>
        <w:numPr>
          <w:ilvl w:val="0"/>
          <w:numId w:val="1012"/>
        </w:numPr>
        <w:pStyle w:val="Compact"/>
      </w:pPr>
      <w:r>
        <w:rPr>
          <w:bCs/>
          <w:b/>
        </w:rPr>
        <w:t xml:space="preserve">Use Phase Engagement:</w:t>
      </w:r>
      <w:r>
        <w:t xml:space="preserve"> </w:t>
      </w:r>
      <w:r>
        <w:t xml:space="preserve">Explore strategies to reduce energy consumption during the product\'s use phase, such as developing more energy-efficient models or providing guidance to users on sustainable practices.</w:t>
      </w:r>
    </w:p>
    <w:p>
      <w:pPr>
        <w:numPr>
          <w:ilvl w:val="0"/>
          <w:numId w:val="1012"/>
        </w:numPr>
        <w:pStyle w:val="Compact"/>
      </w:pPr>
      <w:r>
        <w:rPr>
          <w:bCs/>
          <w:b/>
        </w:rPr>
        <w:t xml:space="preserve">Circular Economy Integration:</w:t>
      </w:r>
      <w:r>
        <w:t xml:space="preserve"> </w:t>
      </w:r>
      <w:r>
        <w:t xml:space="preserve">Strengthen existing circular/take-back programs to maximize recycling rates and explore opportunities for material reuse to further reduce end-of-life impacts.</w:t>
      </w:r>
    </w:p>
    <w:p>
      <w:pPr>
        <w:pStyle w:val="FirstParagraph"/>
      </w:pPr>
      <w:r>
        <w:t xml:space="preserve">Continuous monitoring and annual re-assessment of the PCF will be essential for khjyunwigv to track progress, identify new reduction opportunities, and ensure ongoing compliance with evolving GHG Protocol standards, including the 2026 LSR update and stringent Scope 3 coverage requirements.</w:t>
      </w:r>
    </w:p>
    <w:bookmarkEnd w:id="40"/>
    <w:bookmarkEnd w:id="41"/>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xiiyezeyut</dc:title>
  <dc:creator/>
  <dc:description>Detailed Product Carbon Footprint (PCF) analysis report for xiiyezeyut, performed by Senior Sustainability Consultant mlifmvydkh for khjyunwigv, adhering to GHG Protocol standards and 2026 LSR updates.</dc:description>
  <dc:language>en</dc:language>
  <cp:keywords/>
  <dcterms:created xsi:type="dcterms:W3CDTF">2026-05-30T18:35:08Z</dcterms:created>
  <dcterms:modified xsi:type="dcterms:W3CDTF">2026-05-30T18:35:08Z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