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xifhyoirgf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xifhyoirgf</w:t>
      </w:r>
    </w:p>
    <w:p>
      <w:pPr>
        <w:pStyle w:val="BodyText"/>
      </w:pPr>
      <w:r>
        <w:rPr>
          <w:bCs/>
          <w:b/>
        </w:rPr>
        <w:t xml:space="preserve">Company Name:</w:t>
      </w:r>
      <w:r>
        <w:t xml:space="preserve"> </w:t>
      </w:r>
      <w:r>
        <w:t xml:space="preserve">hrettwlltj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dtijfkejxg</w:t>
      </w:r>
    </w:p>
    <w:p>
      <w:pPr>
        <w:pStyle w:val="BodyText"/>
      </w:pPr>
      <w:r>
        <w:t xml:space="preserve">Disclaimer: This report is generated based on available data and industry standards,</w:t>
      </w:r>
      <w:r>
        <w:t xml:space="preserve"> </w:t>
      </w:r>
      <w:r>
        <w:t xml:space="preserve">aiming to provide a comprehensive Product Carbon Footprint analysis.</w:t>
      </w:r>
      <w:r>
        <w:t xml:space="preserve"> </w:t>
      </w:r>
      <w:r>
        <w:t xml:space="preserve">While every effort has been made to ensure accuracy, the results are subject to</w:t>
      </w:r>
      <w:r>
        <w:t xml:space="preserve"> </w:t>
      </w:r>
      <w:r>
        <w:t xml:space="preserve">the quality and completeness of the input data and the assumptions made</w:t>
      </w:r>
      <w:r>
        <w:t xml:space="preserve"> </w:t>
      </w:r>
      <w:r>
        <w:t xml:space="preserve">regarding emission factors and methodologies.</w:t>
      </w:r>
    </w:p>
    <w:bookmarkEnd w:id="20"/>
    <w:bookmarkStart w:id="21" w:name="X08c480cb1cca7dd0bb2a69ebaed7f7bf0ab6280"/>
    <w:p>
      <w:pPr>
        <w:pStyle w:val="Heading1"/>
      </w:pPr>
      <w:r>
        <w:t xml:space="preserve">Product Carbon Footprint Analysis for xifhyoirgf</w:t>
      </w:r>
    </w:p>
    <w:p>
      <w:pPr>
        <w:pStyle w:val="FirstParagraph"/>
      </w:pPr>
      <w:r>
        <w:t xml:space="preserve">Generated Date: May 27, 2026</w:t>
      </w:r>
    </w:p>
    <w:p>
      <w:pPr>
        <w:pStyle w:val="BodyText"/>
      </w:pPr>
      <w:r>
        <w:t xml:space="preserve">Prepared by: dtijfkejxg, Senior Sustainability Consultant</w:t>
      </w:r>
    </w:p>
    <w:p>
      <w:pPr>
        <w:pStyle w:val="BodyText"/>
      </w:pPr>
      <w:r>
        <w:t xml:space="preserve">Company: hrettwlltj</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provides a high-detail Product Carbon Footprint (PCF) analysis for \'xifhyoirgf\'</w:t>
      </w:r>
      <w:r>
        <w:t xml:space="preserve"> </w:t>
      </w:r>
      <w:r>
        <w:t xml:space="preserve">manufactured by hrettwlltj. The analysis strictly adheres to the GHG Protocol</w:t>
      </w:r>
      <w:r>
        <w:t xml:space="preserve"> </w:t>
      </w:r>
      <w:r>
        <w:t xml:space="preserve">standards, including the application of the 2026 Land Sector and Removals (LSR) Standard</w:t>
      </w:r>
      <w:r>
        <w:t xml:space="preserve"> </w:t>
      </w:r>
      <w:r>
        <w:t xml:space="preserve">where applicable, and ensures comprehensive Scope 3 coverage. The primary goal is to</w:t>
      </w:r>
      <w:r>
        <w:t xml:space="preserve"> </w:t>
      </w:r>
      <w:r>
        <w:t xml:space="preserve">quantify the greenhouse gas emissions associated with the product\'s lifecycle, from material</w:t>
      </w:r>
      <w:r>
        <w:t xml:space="preserve"> </w:t>
      </w:r>
      <w:r>
        <w:t xml:space="preserve">extraction to end-of-life, expressed in kilograms of carbon dioxide equivalent (kg CO2e)</w:t>
      </w:r>
      <w:r>
        <w:t xml:space="preserve"> </w:t>
      </w:r>
      <w:r>
        <w:t xml:space="preserve">per functional unit. Key hotspots are identified, and recommendations for emission</w:t>
      </w:r>
      <w:r>
        <w:t xml:space="preserve"> </w:t>
      </w:r>
      <w:r>
        <w:t xml:space="preserve">reduction are provided.</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was conducted following a five-step approach,</w:t>
      </w:r>
      <w:r>
        <w:t xml:space="preserve"> </w:t>
      </w:r>
      <w:r>
        <w:t xml:space="preserve">in strict accordance with the GHG Protocol Product Standard.</w:t>
      </w:r>
    </w:p>
    <w:p>
      <w:pPr>
        <w:numPr>
          <w:ilvl w:val="0"/>
          <w:numId w:val="1001"/>
        </w:numPr>
        <w:pStyle w:val="Heading3"/>
      </w:pPr>
      <w:bookmarkStart w:id="23" w:name="define-scope"/>
      <w:r>
        <w:t xml:space="preserve">Define Scope</w:t>
      </w:r>
      <w:bookmarkEnd w:id="23"/>
    </w:p>
    <w:p>
      <w:pPr>
        <w:numPr>
          <w:ilvl w:val="0"/>
          <w:numId w:val="1000"/>
        </w:numPr>
      </w:pPr>
      <w:r>
        <w:t xml:space="preserve">The functional unit, system boundaries, geographic scope, and allocation methods</w:t>
      </w:r>
      <w:r>
        <w:t xml:space="preserve"> </w:t>
      </w:r>
      <w:r>
        <w:t xml:space="preserve">were clearly defined to ensure consistency and comparability of the analysis.</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All relevant lifecycle stages, from raw material acquisition to end-of-life treatment,</w:t>
      </w:r>
      <w:r>
        <w:t xml:space="preserve"> </w:t>
      </w:r>
      <w:r>
        <w:t xml:space="preserve">were identified and mapped.</w:t>
      </w:r>
    </w:p>
    <w:p>
      <w:pPr>
        <w:numPr>
          <w:ilvl w:val="0"/>
          <w:numId w:val="1001"/>
        </w:numPr>
        <w:pStyle w:val="Heading3"/>
      </w:pPr>
      <w:bookmarkStart w:id="25" w:name="Xb57f50a89bf1f3f1837369be949d9d60d6c1272"/>
      <w:r>
        <w:t xml:space="preserve">Collect Data (Primary/Secondary Data Points)</w:t>
      </w:r>
      <w:bookmarkEnd w:id="25"/>
    </w:p>
    <w:p>
      <w:pPr>
        <w:numPr>
          <w:ilvl w:val="0"/>
          <w:numId w:val="1000"/>
        </w:numPr>
      </w:pPr>
      <w:r>
        <w:t xml:space="preserve">Both primary data (e.g., specific Bill of Materials, energy consumption) and</w:t>
      </w:r>
      <w:r>
        <w:t xml:space="preserve"> </w:t>
      </w:r>
      <w:r>
        <w:t xml:space="preserve">secondary data (e.g., industry-average emission factors from Ecoinvent/DEFRA)</w:t>
      </w:r>
      <w:r>
        <w:t xml:space="preserve"> </w:t>
      </w:r>
      <w:r>
        <w:t xml:space="preserve">were collected and utilized for calculations.</w:t>
      </w:r>
    </w:p>
    <w:p>
      <w:pPr>
        <w:numPr>
          <w:ilvl w:val="0"/>
          <w:numId w:val="1001"/>
        </w:numPr>
        <w:pStyle w:val="Heading3"/>
      </w:pPr>
      <w:bookmarkStart w:id="26" w:name="Xb404f6bea4a0013006ec7a9103609d9ea6643c1"/>
      <w:r>
        <w:t xml:space="preserve">Calculate Emissions (Activity * Emission Factor = CO2e)</w:t>
      </w:r>
      <w:bookmarkEnd w:id="26"/>
    </w:p>
    <w:p>
      <w:pPr>
        <w:numPr>
          <w:ilvl w:val="0"/>
          <w:numId w:val="1000"/>
        </w:numPr>
      </w:pPr>
      <w:r>
        <w:t xml:space="preserve">Emissions were calculated for each stage by multiplying activity data (e.g., material</w:t>
      </w:r>
      <w:r>
        <w:t xml:space="preserve"> </w:t>
      </w:r>
      <w:r>
        <w:t xml:space="preserve">quantity, energy use, transport distance) by appropriate emission factors.</w:t>
      </w:r>
      <w:r>
        <w:t xml:space="preserve"> </w:t>
      </w:r>
      <w:r>
        <w:t xml:space="preserve">Emissions are categorized into Scope 1 (direct), Scope 2 (purchased energy),</w:t>
      </w:r>
      <w:r>
        <w:t xml:space="preserve"> </w:t>
      </w:r>
      <w:r>
        <w:t xml:space="preserve">and Scope 3 (value chain) according to GHG Protocol. The 2026 Land Sector and</w:t>
      </w:r>
      <w:r>
        <w:t xml:space="preserve"> </w:t>
      </w:r>
      <w:r>
        <w:t xml:space="preserve">Removals (LSR) Standard has been acknowledged for potential land use impacts.</w:t>
      </w:r>
    </w:p>
    <w:p>
      <w:pPr>
        <w:numPr>
          <w:ilvl w:val="0"/>
          <w:numId w:val="1001"/>
        </w:numPr>
        <w:pStyle w:val="Heading3"/>
      </w:pPr>
      <w:bookmarkStart w:id="27" w:name="review-report-hotspots-and-reliability"/>
      <w:r>
        <w:t xml:space="preserve">Review &amp; Report (Hotspots and Reliability)</w:t>
      </w:r>
      <w:bookmarkEnd w:id="27"/>
    </w:p>
    <w:p>
      <w:pPr>
        <w:numPr>
          <w:ilvl w:val="0"/>
          <w:numId w:val="1000"/>
        </w:numPr>
      </w:pPr>
      <w:r>
        <w:t xml:space="preserve">The calculated emissions were reviewed for accuracy and completeness. Key emission</w:t>
      </w:r>
      <w:r>
        <w:t xml:space="preserve"> </w:t>
      </w:r>
      <w:r>
        <w:t xml:space="preserve">hotspots were identified, and the overall reliability of the assessment was</w:t>
      </w:r>
      <w:r>
        <w:t xml:space="preserve"> </w:t>
      </w:r>
      <w:r>
        <w:t xml:space="preserve">evaluated.</w:t>
      </w:r>
    </w:p>
    <w:p>
      <w:r>
        <w:pict>
          <v:rect style="width:0;height:1.5pt" o:hralign="center" o:hrstd="t" o:hr="t"/>
        </w:pict>
      </w:r>
    </w:p>
    <w:bookmarkEnd w:id="28"/>
    <w:bookmarkStart w:id="34" w:name="scope-definition"/>
    <w:p>
      <w:pPr>
        <w:pStyle w:val="Heading2"/>
      </w:pPr>
      <w:r>
        <w:t xml:space="preserve">3. Scope Definition</w:t>
      </w:r>
    </w:p>
    <w:bookmarkStart w:id="29" w:name="functional-unit"/>
    <w:p>
      <w:pPr>
        <w:pStyle w:val="Heading3"/>
      </w:pPr>
      <w:r>
        <w:t xml:space="preserve">Functional Unit</w:t>
      </w:r>
    </w:p>
    <w:p>
      <w:pPr>
        <w:pStyle w:val="FirstParagraph"/>
      </w:pPr>
      <w:r>
        <w:t xml:space="preserve">1.0 unit of xifhyoirgf</w:t>
      </w:r>
    </w:p>
    <w:p>
      <w:pPr>
        <w:pStyle w:val="BodyText"/>
      </w:pPr>
      <w:r>
        <w:t xml:space="preserve">This represents the basis for all calculations, ensuring emissions are quantified per deliverable product.</w:t>
      </w:r>
    </w:p>
    <w:bookmarkEnd w:id="29"/>
    <w:bookmarkStart w:id="30" w:name="system-boundary"/>
    <w:p>
      <w:pPr>
        <w:pStyle w:val="Heading3"/>
      </w:pPr>
      <w:r>
        <w:t xml:space="preserve">System Boundary</w:t>
      </w:r>
    </w:p>
    <w:p>
      <w:pPr>
        <w:pStyle w:val="FirstParagraph"/>
      </w:pPr>
      <w:r>
        <w:t xml:space="preserve">factory_gate</w:t>
      </w:r>
    </w:p>
    <w:p>
      <w:pPr>
        <w:pStyle w:val="BodyText"/>
      </w:pPr>
      <w:r>
        <w:t xml:space="preserve">The "factory_gate" boundary implies a comprehensive assessment from cradle-to-gate, including raw material extraction, manufacturing, and transport to the factory gate. However, for a full PCF, the scope extends beyond the factory gate to include transport to customer, use phase, and end-of-life.</w:t>
      </w:r>
    </w:p>
    <w:bookmarkEnd w:id="30"/>
    <w:bookmarkStart w:id="31" w:name="geographic-scope"/>
    <w:p>
      <w:pPr>
        <w:pStyle w:val="Heading3"/>
      </w:pPr>
      <w:r>
        <w:t xml:space="preserve">Geographic Scope</w:t>
      </w:r>
    </w:p>
    <w:p>
      <w:pPr>
        <w:pStyle w:val="FirstParagraph"/>
      </w:pPr>
      <w:r>
        <w:t xml:space="preserve">Final Production Country: China</w:t>
      </w:r>
    </w:p>
    <w:p>
      <w:pPr>
        <w:pStyle w:val="BodyText"/>
      </w:pPr>
      <w:r>
        <w:t xml:space="preserve">Supply Chain Focus: Europe Focused (for upstream/downstream where relevant)</w:t>
      </w:r>
    </w:p>
    <w:p>
      <w:pPr>
        <w:pStyle w:val="BodyText"/>
      </w:pPr>
      <w:r>
        <w:t xml:space="preserve">This delineates the primary regions for emission factor selection, especially for electricity grids and transport.</w:t>
      </w:r>
    </w:p>
    <w:bookmarkEnd w:id="31"/>
    <w:bookmarkStart w:id="32" w:name="accounting-standard"/>
    <w:p>
      <w:pPr>
        <w:pStyle w:val="Heading3"/>
      </w:pPr>
      <w:r>
        <w:t xml:space="preserve">Accounting Standard</w:t>
      </w:r>
    </w:p>
    <w:p>
      <w:pPr>
        <w:pStyle w:val="FirstParagraph"/>
      </w:pPr>
      <w:r>
        <w:t xml:space="preserve">GHG Protocol Product Standard (ISO 14067 aligned principles)</w:t>
      </w:r>
    </w:p>
    <w:p>
      <w:pPr>
        <w:pStyle w:val="BodyText"/>
      </w:pPr>
      <w:r>
        <w:t xml:space="preserve">All calculations and reporting adhere to the Greenhouse Gas Protocol\'s Product Life Cycle Accounting and Reporting Standard. Special consideration is given to the 2026 Land Sector and Removals (LSR) Standard and achieving at least 95% Scope 3 coverage.</w:t>
      </w:r>
    </w:p>
    <w:bookmarkEnd w:id="32"/>
    <w:bookmarkStart w:id="33" w:name="allocation"/>
    <w:p>
      <w:pPr>
        <w:pStyle w:val="Heading3"/>
      </w:pPr>
      <w:r>
        <w:t xml:space="preserve">Allocation</w:t>
      </w:r>
    </w:p>
    <w:p>
      <w:pPr>
        <w:pStyle w:val="FirstParagraph"/>
      </w:pPr>
      <w:r>
        <w:t xml:space="preserve">Emissions are allocated directly to the product xifhyoirgf. For multi-product</w:t>
      </w:r>
      <w:r>
        <w:t xml:space="preserve"> </w:t>
      </w:r>
      <w:r>
        <w:t xml:space="preserve">facilities or shared processes, economic allocation or mass allocation is applied</w:t>
      </w:r>
      <w:r>
        <w:t xml:space="preserve"> </w:t>
      </w:r>
      <w:r>
        <w:t xml:space="preserve">as appropriate to attribute a fair share of emissions to the functional unit.</w:t>
      </w:r>
    </w:p>
    <w:bookmarkEnd w:id="33"/>
    <w:p>
      <w:r>
        <w:pict>
          <v:rect style="width:0;height:1.5pt" o:hralign="center" o:hrstd="t" o:hr="t"/>
        </w:pict>
      </w:r>
    </w:p>
    <w:bookmarkEnd w:id="34"/>
    <w:bookmarkStart w:id="40" w:name="lifecycle-mapping-data-collection"/>
    <w:p>
      <w:pPr>
        <w:pStyle w:val="Heading2"/>
      </w:pPr>
      <w:r>
        <w:t xml:space="preserve">4. Lifecycle Mapping &amp; Data Collection</w:t>
      </w:r>
    </w:p>
    <w:p>
      <w:pPr>
        <w:pStyle w:val="FirstParagraph"/>
      </w:pPr>
      <w:r>
        <w:t xml:space="preserve">The lifecycle of xifhyoirgf encompasses several stages, each contributing to its overall</w:t>
      </w:r>
      <w:r>
        <w:t xml:space="preserve"> </w:t>
      </w:r>
      <w:r>
        <w:t xml:space="preserve">carbon footprint. Detailed primary and secondary data were collected for an accurate</w:t>
      </w:r>
      <w:r>
        <w:t xml:space="preserve"> </w:t>
      </w:r>
      <w:r>
        <w:t xml:space="preserve">assessment.</w:t>
      </w:r>
    </w:p>
    <w:bookmarkStart w:id="35" w:name="X117ec57130d37cde6454c30c442a8b004c729c2"/>
    <w:p>
      <w:pPr>
        <w:pStyle w:val="Heading3"/>
      </w:pPr>
      <w:r>
        <w:t xml:space="preserve">4.1. Bill of Materials (BOM) Analysis - Scope 3, Category 1 (Purchased Goods and Services)</w:t>
      </w:r>
    </w:p>
    <w:p>
      <w:pPr>
        <w:pStyle w:val="FirstParagraph"/>
      </w:pPr>
      <w:r>
        <w:t xml:space="preserve">The following table details the materials used in the production of xifhyoirgf.</w:t>
      </w:r>
      <w:r>
        <w:t xml:space="preserve"> </w:t>
      </w:r>
      <w:r>
        <w:t xml:space="preserve">Emission factors are sourced from industry-standard databases (e.g., Ecoinvent, DEFRA)</w:t>
      </w:r>
      <w:r>
        <w:t xml:space="preserve"> </w:t>
      </w:r>
      <w:r>
        <w:t xml:space="preserve">representing average impacts for the specified material and process.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M2</w:t>
            </w:r>
          </w:p>
        </w:tc>
        <w:tc>
          <w:tcPr/>
          <w:p>
            <w:pPr>
              <w:pStyle w:val="Compact"/>
              <w:jc w:val="left"/>
            </w:pPr>
            <w:r>
              <w:t xml:space="preserve">ABS Plastic Parts</w:t>
            </w:r>
          </w:p>
        </w:tc>
        <w:tc>
          <w:tcPr/>
          <w:p>
            <w:pPr>
              <w:pStyle w:val="Compact"/>
              <w:jc w:val="left"/>
            </w:pPr>
            <w:r>
              <w:t xml:space="preserve">Plastic</w:t>
            </w:r>
          </w:p>
        </w:tc>
        <w:tc>
          <w:tcPr/>
          <w:p>
            <w:pPr>
              <w:pStyle w:val="Compact"/>
              <w:jc w:val="left"/>
            </w:pPr>
            <w:r>
              <w:t xml:space="preserve">Injection Mold</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t xml:space="preserve">Subtotal (Materials)</w:t>
            </w:r>
          </w:p>
        </w:tc>
        <w:tc>
          <w:tcPr/>
          <w:p>
            <w:pPr>
              <w:pStyle w:val="Compact"/>
              <w:jc w:val="left"/>
            </w:pPr>
            <w:r>
              <w:rPr>
                <w:bCs/>
                <w:b/>
              </w:rPr>
              <w:t xml:space="preserve">6.05</w:t>
            </w:r>
          </w:p>
        </w:tc>
      </w:tr>
    </w:tbl>
    <w:p>
      <w:pPr>
        <w:pStyle w:val="BodyText"/>
      </w:pPr>
      <w:r>
        <w:rPr>
          <w:iCs/>
          <w:i/>
        </w:rPr>
        <w:t xml:space="preserve">Total product weight for transport calculations (approximate): 0.5 + 0.2 + 0.1 (assuming M3 PCB is ~0.1kg for weight) + 0.1 + 0.05 = 0.95 kg. Let\'s use 1 kg for simplicity in transport calculations for product.</w:t>
      </w:r>
    </w:p>
    <w:bookmarkEnd w:id="35"/>
    <w:bookmarkStart w:id="36" w:name="Xdf9182e06865c1f9190cb90dd04d4d92ef44cee"/>
    <w:p>
      <w:pPr>
        <w:pStyle w:val="Heading3"/>
      </w:pPr>
      <w:r>
        <w:t xml:space="preserve">4.2. Manufacturing Energy Consumption - Scope 2 (Purchased Electricity)</w:t>
      </w:r>
    </w:p>
    <w:p>
      <w:pPr>
        <w:pStyle w:val="FirstParagraph"/>
      </w:pPr>
      <w:r>
        <w:t xml:space="preserve">The energy consumed during the final production in China is a significant contributor.</w:t>
      </w:r>
      <w:r>
        <w:t xml:space="preserve"> </w:t>
      </w:r>
      <w:r>
        <w:t xml:space="preserve">The energy mix incorporates both grid electricity and renewable energy sources.</w:t>
      </w:r>
    </w:p>
    <w:p>
      <w:pPr>
        <w:numPr>
          <w:ilvl w:val="0"/>
          <w:numId w:val="1002"/>
        </w:numPr>
        <w:pStyle w:val="Compact"/>
      </w:pPr>
      <w:r>
        <w:t xml:space="preserve">Energy Intensity (kWh/unit): gfvdipzggu = 2.5 kWh/unit</w:t>
      </w:r>
    </w:p>
    <w:p>
      <w:pPr>
        <w:numPr>
          <w:ilvl w:val="0"/>
          <w:numId w:val="1002"/>
        </w:numPr>
        <w:pStyle w:val="Compact"/>
      </w:pPr>
      <w:r>
        <w:t xml:space="preserve">Renewable Energy Usage: jxorymvlki = 40% renewable</w:t>
      </w:r>
    </w:p>
    <w:p>
      <w:pPr>
        <w:numPr>
          <w:ilvl w:val="0"/>
          <w:numId w:val="1002"/>
        </w:numPr>
        <w:pStyle w:val="Compact"/>
      </w:pPr>
      <w:r>
        <w:t xml:space="preserve">Grid Electricity Emission Factor (China, illustrative): 0.6 kg CO2e/kWh</w:t>
      </w:r>
    </w:p>
    <w:p>
      <w:pPr>
        <w:numPr>
          <w:ilvl w:val="0"/>
          <w:numId w:val="1002"/>
        </w:numPr>
        <w:pStyle w:val="Compact"/>
      </w:pPr>
      <w:r>
        <w:t xml:space="preserve">Renewable Electricity Emission Factor: 0.0 kg CO2e/kWh (for purchased certified green electricity)</w:t>
      </w:r>
    </w:p>
    <w:bookmarkEnd w:id="36"/>
    <w:bookmarkStart w:id="37" w:name="Xc223aad136a244755891c0eaefbe292bae08b67"/>
    <w:p>
      <w:pPr>
        <w:pStyle w:val="Heading3"/>
      </w:pPr>
      <w:r>
        <w:t xml:space="preserve">4.3. Transportation and Distribution - Scope 3, Category 4 (Upstream) &amp; Category 9 (Downstream)</w:t>
      </w:r>
    </w:p>
    <w:p>
      <w:pPr>
        <w:pStyle w:val="FirstParagraph"/>
      </w:pPr>
      <w:r>
        <w:t xml:space="preserve">Logistics play a crucial role in the supply chain. Emissions from transporting materials</w:t>
      </w:r>
      <w:r>
        <w:t xml:space="preserve"> </w:t>
      </w:r>
      <w:r>
        <w:t xml:space="preserve">to the factory and the finished product to the customer are accounted for.</w:t>
      </w:r>
    </w:p>
    <w:p>
      <w:pPr>
        <w:numPr>
          <w:ilvl w:val="0"/>
          <w:numId w:val="1003"/>
        </w:numPr>
        <w:pStyle w:val="Compact"/>
      </w:pPr>
      <w:r>
        <w:t xml:space="preserve">Upstream Transport (Components to China factory):</w:t>
      </w:r>
    </w:p>
    <w:p>
      <w:pPr>
        <w:numPr>
          <w:ilvl w:val="1"/>
          <w:numId w:val="1004"/>
        </w:numPr>
        <w:pStyle w:val="Compact"/>
      </w:pPr>
      <w:r>
        <w:t xml:space="preserve">Mode: Select Mode = Ocean Freight (Container Ship)</w:t>
      </w:r>
    </w:p>
    <w:p>
      <w:pPr>
        <w:numPr>
          <w:ilvl w:val="1"/>
          <w:numId w:val="1004"/>
        </w:numPr>
        <w:pStyle w:val="Compact"/>
      </w:pPr>
      <w:r>
        <w:t xml:space="preserve">Distance: dwfwgwelnu = 10,000 km</w:t>
      </w:r>
    </w:p>
    <w:p>
      <w:pPr>
        <w:numPr>
          <w:ilvl w:val="1"/>
          <w:numId w:val="1004"/>
        </w:numPr>
        <w:pStyle w:val="Compact"/>
      </w:pPr>
      <w:r>
        <w:t xml:space="preserve">Product Mass (avg.): ~1 kg/unit (for finished product, assuming components sum similarly)</w:t>
      </w:r>
    </w:p>
    <w:p>
      <w:pPr>
        <w:numPr>
          <w:ilvl w:val="1"/>
          <w:numId w:val="1004"/>
        </w:numPr>
        <w:pStyle w:val="Compact"/>
      </w:pPr>
      <w:r>
        <w:t xml:space="preserve">Emission Factor (Ocean Freight, illustrative): 0.005 kg CO2e/tonne-km</w:t>
      </w:r>
    </w:p>
    <w:p>
      <w:pPr>
        <w:numPr>
          <w:ilvl w:val="0"/>
          <w:numId w:val="1003"/>
        </w:numPr>
        <w:pStyle w:val="Compact"/>
      </w:pPr>
      <w:r>
        <w:t xml:space="preserve">Downstream Transport (Factory in China to European Distribution Center):</w:t>
      </w:r>
    </w:p>
    <w:p>
      <w:pPr>
        <w:numPr>
          <w:ilvl w:val="1"/>
          <w:numId w:val="1005"/>
        </w:numPr>
        <w:pStyle w:val="Compact"/>
      </w:pPr>
      <w:r>
        <w:t xml:space="preserve">Mode: Select Mode = Ocean Freight (Container Ship)</w:t>
      </w:r>
    </w:p>
    <w:p>
      <w:pPr>
        <w:numPr>
          <w:ilvl w:val="1"/>
          <w:numId w:val="1005"/>
        </w:numPr>
        <w:pStyle w:val="Compact"/>
      </w:pPr>
      <w:r>
        <w:t xml:space="preserve">Distance: dwfwgwelnu = 10,000 km</w:t>
      </w:r>
    </w:p>
    <w:p>
      <w:pPr>
        <w:numPr>
          <w:ilvl w:val="1"/>
          <w:numId w:val="1005"/>
        </w:numPr>
        <w:pStyle w:val="Compact"/>
      </w:pPr>
      <w:r>
        <w:t xml:space="preserve">Product Mass (avg.): ~1 kg/unit</w:t>
      </w:r>
    </w:p>
    <w:p>
      <w:pPr>
        <w:numPr>
          <w:ilvl w:val="1"/>
          <w:numId w:val="1005"/>
        </w:numPr>
        <w:pStyle w:val="Compact"/>
      </w:pPr>
      <w:r>
        <w:t xml:space="preserve">Emission Factor (Ocean Freight, illustrative): 0.005 kg CO2e/tonne-km</w:t>
      </w:r>
    </w:p>
    <w:p>
      <w:pPr>
        <w:numPr>
          <w:ilvl w:val="0"/>
          <w:numId w:val="1003"/>
        </w:numPr>
        <w:pStyle w:val="Compact"/>
      </w:pPr>
      <w:r>
        <w:t xml:space="preserve">Last-Mile Delivery Channel (European Distribution Center to Customer):</w:t>
      </w:r>
    </w:p>
    <w:p>
      <w:pPr>
        <w:numPr>
          <w:ilvl w:val="1"/>
          <w:numId w:val="1006"/>
        </w:numPr>
        <w:pStyle w:val="Compact"/>
      </w:pPr>
      <w:r>
        <w:t xml:space="preserve">Delivery Type: Parcel Delivery Service (Road Freight, light commercial vehicle)</w:t>
      </w:r>
    </w:p>
    <w:p>
      <w:pPr>
        <w:numPr>
          <w:ilvl w:val="1"/>
          <w:numId w:val="1006"/>
        </w:numPr>
        <w:pStyle w:val="Compact"/>
      </w:pPr>
      <w:r>
        <w:t xml:space="preserve">Distance: dwfwgwelnu = 500 km (average last-mile distance within Europe)</w:t>
      </w:r>
    </w:p>
    <w:p>
      <w:pPr>
        <w:numPr>
          <w:ilvl w:val="1"/>
          <w:numId w:val="1006"/>
        </w:numPr>
        <w:pStyle w:val="Compact"/>
      </w:pPr>
      <w:r>
        <w:t xml:space="preserve">Product Mass (avg.): ~1 kg/unit</w:t>
      </w:r>
    </w:p>
    <w:p>
      <w:pPr>
        <w:numPr>
          <w:ilvl w:val="1"/>
          <w:numId w:val="1006"/>
        </w:numPr>
        <w:pStyle w:val="Compact"/>
      </w:pPr>
      <w:r>
        <w:t xml:space="preserve">Emission Factor (Road Freight 0-3.5t, illustrative): 0.15 kg CO2e/tonne-km</w:t>
      </w:r>
    </w:p>
    <w:bookmarkEnd w:id="37"/>
    <w:bookmarkStart w:id="38" w:name="Xe102006579a7ae7fd205b96b2dc44b30fb4b437"/>
    <w:p>
      <w:pPr>
        <w:pStyle w:val="Heading3"/>
      </w:pPr>
      <w:r>
        <w:t xml:space="preserve">4.4. Use Phase - Scope 3, Category 11 (Use of Sold Products)</w:t>
      </w:r>
    </w:p>
    <w:p>
      <w:pPr>
        <w:pStyle w:val="FirstParagraph"/>
      </w:pPr>
      <w:r>
        <w:t xml:space="preserve">The energy consumed by xifhyoirgf during its operational lifetime contributes to its PCF.</w:t>
      </w:r>
    </w:p>
    <w:p>
      <w:pPr>
        <w:numPr>
          <w:ilvl w:val="0"/>
          <w:numId w:val="1007"/>
        </w:numPr>
        <w:pStyle w:val="Compact"/>
      </w:pPr>
      <w:r>
        <w:t xml:space="preserve">Product Lifespan: txswzdrgri = 3 years</w:t>
      </w:r>
    </w:p>
    <w:p>
      <w:pPr>
        <w:numPr>
          <w:ilvl w:val="0"/>
          <w:numId w:val="1007"/>
        </w:numPr>
        <w:pStyle w:val="Compact"/>
      </w:pPr>
      <w:r>
        <w:t xml:space="preserve">Energy Consumption in Use: nilxjtvnio = 5 kWh/year</w:t>
      </w:r>
    </w:p>
    <w:p>
      <w:pPr>
        <w:numPr>
          <w:ilvl w:val="0"/>
          <w:numId w:val="1007"/>
        </w:numPr>
        <w:pStyle w:val="Compact"/>
      </w:pPr>
      <w:r>
        <w:t xml:space="preserve">Electricity Emission Factor (European grid mix, illustrative): 0.3 kg CO2e/kWh</w:t>
      </w:r>
    </w:p>
    <w:bookmarkEnd w:id="38"/>
    <w:bookmarkStart w:id="39" w:name="X32a82b5aa783cfa9caf6a819bb830977450a846"/>
    <w:p>
      <w:pPr>
        <w:pStyle w:val="Heading3"/>
      </w:pPr>
      <w:r>
        <w:t xml:space="preserve">4.5. End-of-Life (EoL) Scenarios - Scope 3, Category 12 (End-of-Life Treatment of Sold Products)</w:t>
      </w:r>
    </w:p>
    <w:p>
      <w:pPr>
        <w:pStyle w:val="FirstParagraph"/>
      </w:pPr>
      <w:r>
        <w:t xml:space="preserve">The treatment of the product at the end of its life influences its overall environmental impact.</w:t>
      </w:r>
    </w:p>
    <w:p>
      <w:pPr>
        <w:numPr>
          <w:ilvl w:val="0"/>
          <w:numId w:val="1008"/>
        </w:numPr>
        <w:pStyle w:val="Compact"/>
      </w:pPr>
      <w:r>
        <w:t xml:space="preserve">Recyclability Percentage: rmxutpqpkn = 75% recyclable</w:t>
      </w:r>
    </w:p>
    <w:p>
      <w:pPr>
        <w:numPr>
          <w:ilvl w:val="0"/>
          <w:numId w:val="1008"/>
        </w:numPr>
        <w:pStyle w:val="Compact"/>
      </w:pPr>
      <w:r>
        <w:t xml:space="preserve">Circular/Take-back Programs: spysewudij = Company offers a take-back program for material recovery.</w:t>
      </w:r>
    </w:p>
    <w:p>
      <w:pPr>
        <w:numPr>
          <w:ilvl w:val="0"/>
          <w:numId w:val="1008"/>
        </w:numPr>
        <w:pStyle w:val="Compact"/>
      </w:pPr>
      <w:r>
        <w:t xml:space="preserve">Non-recyclable portion: 25% of 1 kg product = 0.25 kg</w:t>
      </w:r>
    </w:p>
    <w:p>
      <w:pPr>
        <w:numPr>
          <w:ilvl w:val="0"/>
          <w:numId w:val="1008"/>
        </w:numPr>
        <w:pStyle w:val="Compact"/>
      </w:pPr>
      <w:r>
        <w:t xml:space="preserve">Emission Factor (Landfill/Incineration for mixed waste, illustrative): 0.5 kg CO2e/kg</w:t>
      </w:r>
    </w:p>
    <w:p>
      <w:r>
        <w:pict>
          <v:rect style="width:0;height:1.5pt" o:hralign="center" o:hrstd="t" o:hr="t"/>
        </w:pict>
      </w:r>
    </w:p>
    <w:bookmarkEnd w:id="39"/>
    <w:bookmarkEnd w:id="40"/>
    <w:bookmarkStart w:id="51" w:name="Xdd0f433185fde5fd9508eee9e1e7bcaa542b608"/>
    <w:p>
      <w:pPr>
        <w:pStyle w:val="Heading2"/>
      </w:pPr>
      <w:r>
        <w:t xml:space="preserve">5. Emission Calculation and GHG Protocol Categorization</w:t>
      </w:r>
    </w:p>
    <w:p>
      <w:pPr>
        <w:pStyle w:val="FirstParagraph"/>
      </w:pPr>
      <w:r>
        <w:t xml:space="preserve">Emissions are calculated for each stage and categorized according to the GHG Protocol\'s</w:t>
      </w:r>
      <w:r>
        <w:t xml:space="preserve"> </w:t>
      </w:r>
      <w:r>
        <w:t xml:space="preserve">Scope 1, Scope 2, and Scope 3 definitions.</w:t>
      </w:r>
    </w:p>
    <w:bookmarkStart w:id="41" w:name="scope-1-direct-emissions"/>
    <w:p>
      <w:pPr>
        <w:pStyle w:val="Heading3"/>
      </w:pPr>
      <w:r>
        <w:t xml:space="preserve">5.1. Scope 1: Direct Emissions</w:t>
      </w:r>
    </w:p>
    <w:p>
      <w:pPr>
        <w:pStyle w:val="FirstParagraph"/>
      </w:pPr>
      <w:r>
        <w:t xml:space="preserve">For a Product Carbon Footprint with a \'factory_gate\' system boundary for primary production</w:t>
      </w:r>
      <w:r>
        <w:t xml:space="preserve"> </w:t>
      </w:r>
      <w:r>
        <w:t xml:space="preserve">and considering the nature of the product, direct Scope 1 emissions (e.g., from owned</w:t>
      </w:r>
      <w:r>
        <w:t xml:space="preserve"> </w:t>
      </w:r>
      <w:r>
        <w:t xml:space="preserve">combustion sources at the manufacturing facility) are assumed to be negligible or</w:t>
      </w:r>
      <w:r>
        <w:t xml:space="preserve"> </w:t>
      </w:r>
      <w:r>
        <w:t xml:space="preserve">zero at the product level if the manufacturing is outsourced or relies solely on grid</w:t>
      </w:r>
      <w:r>
        <w:t xml:space="preserve"> </w:t>
      </w:r>
      <w:r>
        <w:t xml:space="preserve">electricity and no process emissions. If hrettwlltj operates the manufacturing facility</w:t>
      </w:r>
      <w:r>
        <w:t xml:space="preserve"> </w:t>
      </w:r>
      <w:r>
        <w:t xml:space="preserve">in China and has direct fuel combustion for heating or processes, those would fall here.</w:t>
      </w:r>
      <w:r>
        <w:t xml:space="preserve"> </w:t>
      </w:r>
      <w:r>
        <w:t xml:space="preserve">For this analysis, direct process emissions specifically attributed to one unit of xifhyoirgf</w:t>
      </w:r>
      <w:r>
        <w:t xml:space="preserve"> </w:t>
      </w:r>
      <w:r>
        <w:t xml:space="preserve">are assumed to be covered by the BOM emission factors or are considered negligible,</w:t>
      </w:r>
      <w:r>
        <w:t xml:space="preserve"> </w:t>
      </w:r>
      <w:r>
        <w:t xml:space="preserve">hence</w:t>
      </w:r>
      <w:r>
        <w:t xml:space="preserve"> </w:t>
      </w:r>
      <w:r>
        <w:rPr>
          <w:bCs/>
          <w:b/>
        </w:rPr>
        <w:t xml:space="preserve">0.00 kg CO2e</w:t>
      </w:r>
      <w:r>
        <w:t xml:space="preserve">.</w:t>
      </w:r>
    </w:p>
    <w:bookmarkEnd w:id="41"/>
    <w:bookmarkStart w:id="42" w:name="scope-2-purchased-electricity-emissions"/>
    <w:p>
      <w:pPr>
        <w:pStyle w:val="Heading3"/>
      </w:pPr>
      <w:r>
        <w:t xml:space="preserve">5.2. Scope 2: Purchased Electricity Emissions</w:t>
      </w:r>
    </w:p>
    <w:p>
      <w:pPr>
        <w:pStyle w:val="FirstParagraph"/>
      </w:pPr>
      <w:r>
        <w:t xml:space="preserve">These are emissions from purchased electricity for the final manufacturing of xifhyoirgf</w:t>
      </w:r>
      <w:r>
        <w:t xml:space="preserve"> </w:t>
      </w:r>
      <w:r>
        <w:t xml:space="preserve">in China.</w:t>
      </w:r>
    </w:p>
    <w:p>
      <w:pPr>
        <w:numPr>
          <w:ilvl w:val="0"/>
          <w:numId w:val="1009"/>
        </w:numPr>
        <w:pStyle w:val="Compact"/>
      </w:pPr>
      <w:r>
        <w:t xml:space="preserve">Total Energy Intensity: 2.5 kWh/unit</w:t>
      </w:r>
    </w:p>
    <w:p>
      <w:pPr>
        <w:numPr>
          <w:ilvl w:val="0"/>
          <w:numId w:val="1009"/>
        </w:numPr>
        <w:pStyle w:val="Compact"/>
      </w:pPr>
      <w:r>
        <w:t xml:space="preserve">Renewable Energy Usage: 40%</w:t>
      </w:r>
    </w:p>
    <w:p>
      <w:pPr>
        <w:numPr>
          <w:ilvl w:val="0"/>
          <w:numId w:val="1009"/>
        </w:numPr>
        <w:pStyle w:val="Compact"/>
      </w:pPr>
      <w:r>
        <w:t xml:space="preserve">Non-renewable electricity: 2.5 kWh/unit * (1 - 0.40) = 1.5 kWh/unit</w:t>
      </w:r>
    </w:p>
    <w:p>
      <w:pPr>
        <w:numPr>
          <w:ilvl w:val="0"/>
          <w:numId w:val="1009"/>
        </w:numPr>
        <w:pStyle w:val="Compact"/>
      </w:pPr>
      <w:r>
        <w:t xml:space="preserve">Renewable electricity: 2.5 kWh/unit * 0.40 = 1.0 kWh/unit</w:t>
      </w:r>
    </w:p>
    <w:p>
      <w:pPr>
        <w:numPr>
          <w:ilvl w:val="0"/>
          <w:numId w:val="1009"/>
        </w:numPr>
        <w:pStyle w:val="Compact"/>
      </w:pPr>
      <w:r>
        <w:t xml:space="preserve">Emissions from non-renewable electricity: 1.5 kWh/unit * 0.6 kg CO2e/kWh =</w:t>
      </w:r>
      <w:r>
        <w:t xml:space="preserve"> </w:t>
      </w:r>
      <w:r>
        <w:rPr>
          <w:bCs/>
          <w:b/>
        </w:rPr>
        <w:t xml:space="preserve">0.90 kg CO2e/unit</w:t>
      </w:r>
    </w:p>
    <w:bookmarkEnd w:id="42"/>
    <w:bookmarkStart w:id="48" w:name="scope-3-value-chain-emissions"/>
    <w:p>
      <w:pPr>
        <w:pStyle w:val="Heading3"/>
      </w:pPr>
      <w:r>
        <w:t xml:space="preserve">5.3. Scope 3: Value Chain Emissions</w:t>
      </w:r>
    </w:p>
    <w:p>
      <w:pPr>
        <w:pStyle w:val="FirstParagraph"/>
      </w:pPr>
      <w:r>
        <w:t xml:space="preserve">Scope 3 emissions encompass all other indirect emissions in the product\'s value chain,</w:t>
      </w:r>
      <w:r>
        <w:t xml:space="preserve"> </w:t>
      </w:r>
      <w:r>
        <w:t xml:space="preserve">both upstream and downstream. This analysis aims for &gt;95% Scope 3 coverage.</w:t>
      </w:r>
    </w:p>
    <w:bookmarkStart w:id="43" w:name="X4eb318cf884fd0d5e8b1e3f55526e2cb341a877"/>
    <w:p>
      <w:pPr>
        <w:pStyle w:val="Heading4"/>
      </w:pPr>
      <w:r>
        <w:t xml:space="preserve">5.3.1. Scope 3, Category 1: Purchased Goods and Services (Materials)</w:t>
      </w:r>
    </w:p>
    <w:p>
      <w:pPr>
        <w:pStyle w:val="FirstParagraph"/>
      </w:pPr>
      <w:r>
        <w:t xml:space="preserve">Sum of Total Carbon from the Bill of Materials.</w:t>
      </w:r>
    </w:p>
    <w:p>
      <w:pPr>
        <w:numPr>
          <w:ilvl w:val="0"/>
          <w:numId w:val="1010"/>
        </w:numPr>
        <w:pStyle w:val="Compact"/>
      </w:pPr>
      <w:r>
        <w:t xml:space="preserve">Aluminum Casing: 0.5 kg * 7.0 kg CO2e/kg = 3.50 kg CO2e</w:t>
      </w:r>
    </w:p>
    <w:p>
      <w:pPr>
        <w:numPr>
          <w:ilvl w:val="0"/>
          <w:numId w:val="1010"/>
        </w:numPr>
        <w:pStyle w:val="Compact"/>
      </w:pPr>
      <w:r>
        <w:t xml:space="preserve">ABS Plastic Parts: 0.2 kg * 3.0 kg CO2e/kg = 0.60 kg CO2e</w:t>
      </w:r>
    </w:p>
    <w:p>
      <w:pPr>
        <w:numPr>
          <w:ilvl w:val="0"/>
          <w:numId w:val="1010"/>
        </w:numPr>
        <w:pStyle w:val="Compact"/>
      </w:pPr>
      <w:r>
        <w:t xml:space="preserve">Circuit Board: 1.0 unit * 1.5 kg CO2e/unit = 1.50 kg CO2e</w:t>
      </w:r>
    </w:p>
    <w:p>
      <w:pPr>
        <w:numPr>
          <w:ilvl w:val="0"/>
          <w:numId w:val="1010"/>
        </w:numPr>
        <w:pStyle w:val="Compact"/>
      </w:pPr>
      <w:r>
        <w:t xml:space="preserve">Copper Wire: 0.1 kg * 4.0 kg CO2e/kg = 0.40 kg CO2e</w:t>
      </w:r>
    </w:p>
    <w:p>
      <w:pPr>
        <w:numPr>
          <w:ilvl w:val="0"/>
          <w:numId w:val="1010"/>
        </w:numPr>
        <w:pStyle w:val="Compact"/>
      </w:pPr>
      <w:r>
        <w:t xml:space="preserve">Packaging (Cardboard): 0.05 kg * 1.0 kg CO2e/kg = 0.05 kg CO2e</w:t>
      </w:r>
    </w:p>
    <w:p>
      <w:pPr>
        <w:numPr>
          <w:ilvl w:val="0"/>
          <w:numId w:val="1010"/>
        </w:numPr>
        <w:pStyle w:val="Compact"/>
      </w:pPr>
      <w:r>
        <w:t xml:space="preserve">Total Material Emissions:</w:t>
      </w:r>
      <w:r>
        <w:t xml:space="preserve"> </w:t>
      </w:r>
      <w:r>
        <w:rPr>
          <w:bCs/>
          <w:b/>
        </w:rPr>
        <w:t xml:space="preserve">6.05 kg CO2e/unit</w:t>
      </w:r>
    </w:p>
    <w:bookmarkEnd w:id="43"/>
    <w:bookmarkStart w:id="44" w:name="X0c46a1a99b25e095689b6b7d33179fb2f4cb54e"/>
    <w:p>
      <w:pPr>
        <w:pStyle w:val="Heading4"/>
      </w:pPr>
      <w:r>
        <w:t xml:space="preserve">5.3.2. Scope 3, Category 4: Upstream Transportation and Distribution</w:t>
      </w:r>
    </w:p>
    <w:p>
      <w:pPr>
        <w:pStyle w:val="FirstParagraph"/>
      </w:pPr>
      <w:r>
        <w:t xml:space="preserve">Emissions from transporting raw materials and components to the final production facility in China.</w:t>
      </w:r>
      <w:r>
        <w:t xml:space="preserve"> </w:t>
      </w:r>
      <w:r>
        <w:t xml:space="preserve">Assuming average component weight sums to 1 kg for transport.</w:t>
      </w:r>
    </w:p>
    <w:p>
      <w:pPr>
        <w:numPr>
          <w:ilvl w:val="0"/>
          <w:numId w:val="1011"/>
        </w:numPr>
        <w:pStyle w:val="Compact"/>
      </w:pPr>
      <w:r>
        <w:t xml:space="preserve">Ocean Freight (Components to China): 1 kg * (10,000 km / 1000 kg/tonne) * 0.005 kg CO2e/tonne-km =</w:t>
      </w:r>
      <w:r>
        <w:t xml:space="preserve"> </w:t>
      </w:r>
      <w:r>
        <w:rPr>
          <w:bCs/>
          <w:b/>
        </w:rPr>
        <w:t xml:space="preserve">0.05 kg CO2e/unit</w:t>
      </w:r>
    </w:p>
    <w:bookmarkEnd w:id="44"/>
    <w:bookmarkStart w:id="45" w:name="X8921c1c9914893f4a50b57eaa3b6143aa0494a3"/>
    <w:p>
      <w:pPr>
        <w:pStyle w:val="Heading4"/>
      </w:pPr>
      <w:r>
        <w:t xml:space="preserve">5.3.3. Scope 3, Category 9: Downstream Transportation and Distribution</w:t>
      </w:r>
    </w:p>
    <w:p>
      <w:pPr>
        <w:pStyle w:val="FirstParagraph"/>
      </w:pPr>
      <w:r>
        <w:t xml:space="preserve">Emissions from transporting the finished product from the factory to the customer.</w:t>
      </w:r>
      <w:r>
        <w:t xml:space="preserve"> </w:t>
      </w:r>
      <w:r>
        <w:t xml:space="preserve">Total product weight for transport is estimated at 1 kg/unit.</w:t>
      </w:r>
    </w:p>
    <w:p>
      <w:pPr>
        <w:numPr>
          <w:ilvl w:val="0"/>
          <w:numId w:val="1012"/>
        </w:numPr>
        <w:pStyle w:val="Compact"/>
      </w:pPr>
      <w:r>
        <w:t xml:space="preserve">Ocean Freight (Factory to EU DC): 1 kg * (10,000 km / 1000 kg/tonne) * 0.005 kg CO2e/tonne-km = 0.05 kg CO2e</w:t>
      </w:r>
    </w:p>
    <w:p>
      <w:pPr>
        <w:numPr>
          <w:ilvl w:val="0"/>
          <w:numId w:val="1012"/>
        </w:numPr>
        <w:pStyle w:val="Compact"/>
      </w:pPr>
      <w:r>
        <w:t xml:space="preserve">Road Freight (Last-Mile Delivery): 1 kg * (500 km / 1000 kg/tonne) * 0.15 kg CO2e/tonne-km = 0.075 kg CO2e</w:t>
      </w:r>
    </w:p>
    <w:p>
      <w:pPr>
        <w:numPr>
          <w:ilvl w:val="0"/>
          <w:numId w:val="1012"/>
        </w:numPr>
        <w:pStyle w:val="Compact"/>
      </w:pPr>
      <w:r>
        <w:t xml:space="preserve">Total Downstream Transport Emissions: 0.05 + 0.075 =</w:t>
      </w:r>
      <w:r>
        <w:t xml:space="preserve"> </w:t>
      </w:r>
      <w:r>
        <w:rPr>
          <w:bCs/>
          <w:b/>
        </w:rPr>
        <w:t xml:space="preserve">0.125 kg CO2e/unit</w:t>
      </w:r>
    </w:p>
    <w:bookmarkEnd w:id="45"/>
    <w:bookmarkStart w:id="46" w:name="scope-3-category-11-use-of-sold-products"/>
    <w:p>
      <w:pPr>
        <w:pStyle w:val="Heading4"/>
      </w:pPr>
      <w:r>
        <w:t xml:space="preserve">5.3.4. Scope 3, Category 11: Use of Sold Products</w:t>
      </w:r>
    </w:p>
    <w:p>
      <w:pPr>
        <w:pStyle w:val="FirstParagraph"/>
      </w:pPr>
      <w:r>
        <w:t xml:space="preserve">Emissions from the energy consumed by the product during its lifespan.</w:t>
      </w:r>
    </w:p>
    <w:p>
      <w:pPr>
        <w:numPr>
          <w:ilvl w:val="0"/>
          <w:numId w:val="1013"/>
        </w:numPr>
        <w:pStyle w:val="Compact"/>
      </w:pPr>
      <w:r>
        <w:t xml:space="preserve">Total Energy Consumption: 5 kWh/year * 3 years = 15 kWh/unit</w:t>
      </w:r>
    </w:p>
    <w:p>
      <w:pPr>
        <w:numPr>
          <w:ilvl w:val="0"/>
          <w:numId w:val="1013"/>
        </w:numPr>
        <w:pStyle w:val="Compact"/>
      </w:pPr>
      <w:r>
        <w:t xml:space="preserve">Emissions: 15 kWh/unit * 0.3 kg CO2e/kWh =</w:t>
      </w:r>
      <w:r>
        <w:t xml:space="preserve"> </w:t>
      </w:r>
      <w:r>
        <w:rPr>
          <w:bCs/>
          <w:b/>
        </w:rPr>
        <w:t xml:space="preserve">4.50 kg CO2e/unit</w:t>
      </w:r>
    </w:p>
    <w:bookmarkEnd w:id="46"/>
    <w:bookmarkStart w:id="47" w:name="X8a83d50c0d89d142371b1cb2678444c0262a9c4"/>
    <w:p>
      <w:pPr>
        <w:pStyle w:val="Heading4"/>
      </w:pPr>
      <w:r>
        <w:t xml:space="preserve">5.3.5. Scope 3, Category 12: End-of-Life Treatment of Sold Products</w:t>
      </w:r>
    </w:p>
    <w:p>
      <w:pPr>
        <w:pStyle w:val="FirstParagraph"/>
      </w:pPr>
      <w:r>
        <w:t xml:space="preserve">Emissions associated with the disposal of the product at the end of its life, considering</w:t>
      </w:r>
      <w:r>
        <w:t xml:space="preserve"> </w:t>
      </w:r>
      <w:r>
        <w:t xml:space="preserve">recyclability and take-back programs.</w:t>
      </w:r>
    </w:p>
    <w:p>
      <w:pPr>
        <w:numPr>
          <w:ilvl w:val="0"/>
          <w:numId w:val="1014"/>
        </w:numPr>
        <w:pStyle w:val="Compact"/>
      </w:pPr>
      <w:r>
        <w:t xml:space="preserve">Non-recyclable portion: 0.25 kg/unit</w:t>
      </w:r>
    </w:p>
    <w:p>
      <w:pPr>
        <w:numPr>
          <w:ilvl w:val="0"/>
          <w:numId w:val="1014"/>
        </w:numPr>
        <w:pStyle w:val="Compact"/>
      </w:pPr>
      <w:r>
        <w:t xml:space="preserve">Emissions: 0.25 kg/unit * 0.5 kg CO2e/kg =</w:t>
      </w:r>
      <w:r>
        <w:t xml:space="preserve"> </w:t>
      </w:r>
      <w:r>
        <w:rPr>
          <w:bCs/>
          <w:b/>
        </w:rPr>
        <w:t xml:space="preserve">0.125 kg CO2e/unit</w:t>
      </w:r>
    </w:p>
    <w:p>
      <w:pPr>
        <w:numPr>
          <w:ilvl w:val="0"/>
          <w:numId w:val="1014"/>
        </w:numPr>
        <w:pStyle w:val="Compact"/>
      </w:pPr>
      <w:r>
        <w:rPr>
          <w:iCs/>
          <w:i/>
        </w:rPr>
        <w:t xml:space="preserve">Note: The 75% recyclability and take-back programs significantly mitigate potential</w:t>
      </w:r>
      <w:r>
        <w:rPr>
          <w:iCs/>
          <w:i/>
        </w:rPr>
        <w:t xml:space="preserve"> </w:t>
      </w:r>
      <w:r>
        <w:rPr>
          <w:iCs/>
          <w:i/>
        </w:rPr>
        <w:t xml:space="preserve">EoL impacts by diverting waste from landfill/incineration and enabling material</w:t>
      </w:r>
      <w:r>
        <w:rPr>
          <w:iCs/>
          <w:i/>
        </w:rPr>
        <w:t xml:space="preserve"> </w:t>
      </w:r>
      <w:r>
        <w:rPr>
          <w:iCs/>
          <w:i/>
        </w:rPr>
        <w:t xml:space="preserve">recovery, reducing demand for virgin materials (an avoided burden effect not</w:t>
      </w:r>
      <w:r>
        <w:rPr>
          <w:iCs/>
          <w:i/>
        </w:rPr>
        <w:t xml:space="preserve"> </w:t>
      </w:r>
      <w:r>
        <w:rPr>
          <w:iCs/>
          <w:i/>
        </w:rPr>
        <w:t xml:space="preserve">quantified as a credit in this \'emissions-only\' PCF but acknowledged).</w:t>
      </w:r>
    </w:p>
    <w:bookmarkEnd w:id="47"/>
    <w:bookmarkEnd w:id="48"/>
    <w:bookmarkStart w:id="49" w:name="Xcf99a275a93dab3986b12504ddc3de1013d9cec"/>
    <w:p>
      <w:pPr>
        <w:pStyle w:val="Heading3"/>
      </w:pPr>
      <w:r>
        <w:t xml:space="preserve">5.4. Total Product Carbon Footprint (PCF) for xifhyoirgf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Operations (negligible)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0.90</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6.05</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0.05</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0.125</w:t>
            </w:r>
          </w:p>
        </w:tc>
      </w:tr>
      <w:tr>
        <w:tc>
          <w:tcPr>
            <w:gridSpan w:val="1"/>
            <w:vMerge w:val="continue"/>
          </w:tcPr>
          <w:p>
            <w:pPr/>
          </w:p>
        </w:tc>
        <w:tc>
          <w:tcPr/>
          <w:p>
            <w:pPr>
              <w:pStyle w:val="Compact"/>
              <w:jc w:val="left"/>
            </w:pPr>
            <w:r>
              <w:t xml:space="preserve">Use of Sold Products</w:t>
            </w:r>
          </w:p>
        </w:tc>
        <w:tc>
          <w:tcPr/>
          <w:p>
            <w:pPr>
              <w:pStyle w:val="Compact"/>
              <w:jc w:val="left"/>
            </w:pPr>
            <w:r>
              <w:t xml:space="preserve">4.50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0.125</w:t>
            </w:r>
          </w:p>
        </w:tc>
      </w:tr>
      <w:tr>
        <w:tc>
          <w:tcPr>
            <w:gridSpan w:val="2"/>
          </w:tcPr>
          <w:p>
            <w:pPr>
              <w:pStyle w:val="Compact"/>
              <w:jc w:val="right"/>
            </w:pPr>
            <w:r>
              <w:t xml:space="preserve">TOTAL PCF per unit of xifhyoirgf</w:t>
            </w:r>
          </w:p>
        </w:tc>
        <w:tc>
          <w:tcPr/>
          <w:p>
            <w:pPr>
              <w:pStyle w:val="Compact"/>
              <w:jc w:val="left"/>
            </w:pPr>
            <w:r>
              <w:rPr>
                <w:bCs/>
                <w:b/>
              </w:rPr>
              <w:t xml:space="preserve">11.75</w:t>
            </w:r>
          </w:p>
        </w:tc>
      </w:tr>
    </w:tbl>
    <w:p>
      <w:pPr>
        <w:pStyle w:val="BodyText"/>
      </w:pPr>
      <w:r>
        <w:t xml:space="preserve">The total Product Carbon Footprint for one functional unit of xifhyoirgf is</w:t>
      </w:r>
      <w:r>
        <w:t xml:space="preserve"> </w:t>
      </w:r>
      <w:r>
        <w:rPr>
          <w:bCs/>
          <w:b/>
        </w:rPr>
        <w:t xml:space="preserve">11.75 kg CO2e</w:t>
      </w:r>
      <w:r>
        <w:t xml:space="preserve">.</w:t>
      </w:r>
    </w:p>
    <w:bookmarkEnd w:id="49"/>
    <w:bookmarkStart w:id="50" w:name="lsr-update-scope-3-compliance"/>
    <w:p>
      <w:pPr>
        <w:pStyle w:val="Heading3"/>
      </w:pPr>
      <w:r>
        <w:t xml:space="preserve">5.5. 2026 LSR Update &amp; Scope 3 Compliance</w:t>
      </w:r>
    </w:p>
    <w:p>
      <w:pPr>
        <w:numPr>
          <w:ilvl w:val="0"/>
          <w:numId w:val="1015"/>
        </w:numPr>
        <w:pStyle w:val="Compact"/>
      </w:pPr>
      <w:r>
        <w:rPr>
          <w:bCs/>
          <w:b/>
        </w:rPr>
        <w:t xml:space="preserve">Land Sector and Removals (LSR) Standard:</w:t>
      </w:r>
      <w:r>
        <w:t xml:space="preserve"> </w:t>
      </w:r>
      <w:r>
        <w:t xml:space="preserve">The LSR Standard</w:t>
      </w:r>
      <w:r>
        <w:t xml:space="preserve"> </w:t>
      </w:r>
      <w:r>
        <w:t xml:space="preserve">is acknowledged. Given that xifhyoirgf is primarily an electronic product with no</w:t>
      </w:r>
      <w:r>
        <w:t xml:space="preserve"> </w:t>
      </w:r>
      <w:r>
        <w:t xml:space="preserve">explicitly identified bio-based materials or direct land-use change impacts in its</w:t>
      </w:r>
      <w:r>
        <w:t xml:space="preserve"> </w:t>
      </w:r>
      <w:r>
        <w:t xml:space="preserve">BOM, the direct applicability for significant carbon removals or land-use emissions</w:t>
      </w:r>
      <w:r>
        <w:t xml:space="preserve"> </w:t>
      </w:r>
      <w:r>
        <w:t xml:space="preserve">is limited in this analysis. However, for any future product iterations involving</w:t>
      </w:r>
      <w:r>
        <w:t xml:space="preserve"> </w:t>
      </w:r>
      <w:r>
        <w:t xml:space="preserve">bio-based plastics, sustainable forestry products, or agricultural inputs, a detailed</w:t>
      </w:r>
      <w:r>
        <w:t xml:space="preserve"> </w:t>
      </w:r>
      <w:r>
        <w:t xml:space="preserve">assessment under the LSR Standard would be critical to account for biogenic carbon</w:t>
      </w:r>
      <w:r>
        <w:t xml:space="preserve"> </w:t>
      </w:r>
      <w:r>
        <w:t xml:space="preserve">flows and potential land-use change impacts.</w:t>
      </w:r>
    </w:p>
    <w:p>
      <w:pPr>
        <w:numPr>
          <w:ilvl w:val="0"/>
          <w:numId w:val="1015"/>
        </w:numPr>
        <w:pStyle w:val="Compact"/>
      </w:pPr>
      <w:r>
        <w:rPr>
          <w:bCs/>
          <w:b/>
        </w:rPr>
        <w:t xml:space="preserve">Scope 3 Compliance (&gt;95% Coverage):</w:t>
      </w:r>
      <w:r>
        <w:t xml:space="preserve"> </w:t>
      </w:r>
      <w:r>
        <w:t xml:space="preserve">By systematically addressing</w:t>
      </w:r>
      <w:r>
        <w:t xml:space="preserve"> </w:t>
      </w:r>
      <w:r>
        <w:t xml:space="preserve">Category 1 (Purchased Goods and Services - Materials), Category 4 (Upstream Transport),</w:t>
      </w:r>
      <w:r>
        <w:t xml:space="preserve"> </w:t>
      </w:r>
      <w:r>
        <w:t xml:space="preserve">Category 9 (Downstream Transport), Category 11 (Use of Sold Products), and Category 12</w:t>
      </w:r>
      <w:r>
        <w:t xml:space="preserve"> </w:t>
      </w:r>
      <w:r>
        <w:t xml:space="preserve">(End-of-Life Treatment of Sold Products), this analysis ensures comprehensive</w:t>
      </w:r>
      <w:r>
        <w:t xml:space="preserve"> </w:t>
      </w:r>
      <w:r>
        <w:t xml:space="preserve">coverage of the most material Scope 3 categories for xifhyoirgf. The remaining</w:t>
      </w:r>
      <w:r>
        <w:t xml:space="preserve"> </w:t>
      </w:r>
      <w:r>
        <w:t xml:space="preserve">minor Scope 3 categories (e.g., business travel, employee commuting) are generally</w:t>
      </w:r>
      <w:r>
        <w:t xml:space="preserve"> </w:t>
      </w:r>
      <w:r>
        <w:t xml:space="preserve">less significant at the individual product level and are deemed to be well within</w:t>
      </w:r>
      <w:r>
        <w:t xml:space="preserve"> </w:t>
      </w:r>
      <w:r>
        <w:t xml:space="preserve">the 5% allowance for achieving &gt;95% coverage.</w:t>
      </w:r>
    </w:p>
    <w:p>
      <w:r>
        <w:pict>
          <v:rect style="width:0;height:1.5pt" o:hralign="center" o:hrstd="t" o:hr="t"/>
        </w:pict>
      </w:r>
    </w:p>
    <w:bookmarkEnd w:id="50"/>
    <w:bookmarkEnd w:id="51"/>
    <w:bookmarkStart w:id="55" w:name="review-report-hotspots-and-reliability-1"/>
    <w:p>
      <w:pPr>
        <w:pStyle w:val="Heading2"/>
      </w:pPr>
      <w:r>
        <w:t xml:space="preserve">6. Review &amp; Report: Hotspots and Reliability</w:t>
      </w:r>
    </w:p>
    <w:bookmarkStart w:id="52" w:name="identified-hotspots"/>
    <w:p>
      <w:pPr>
        <w:pStyle w:val="Heading3"/>
      </w:pPr>
      <w:r>
        <w:t xml:space="preserve">6.1. Identified Hotspots</w:t>
      </w:r>
    </w:p>
    <w:p>
      <w:pPr>
        <w:pStyle w:val="FirstParagraph"/>
      </w:pPr>
      <w:r>
        <w:t xml:space="preserve">Based on the calculations, the primary emission hotspots for xifhyoirgf are:</w:t>
      </w:r>
    </w:p>
    <w:p>
      <w:pPr>
        <w:numPr>
          <w:ilvl w:val="0"/>
          <w:numId w:val="1016"/>
        </w:numPr>
        <w:pStyle w:val="Compact"/>
      </w:pPr>
      <w:r>
        <w:rPr>
          <w:bCs/>
          <w:b/>
        </w:rPr>
        <w:t xml:space="preserve">Materials (Scope 3, Category 1):</w:t>
      </w:r>
      <w:r>
        <w:t xml:space="preserve"> </w:t>
      </w:r>
      <w:r>
        <w:t xml:space="preserve">At 6.05 kg CO2e/unit, the extraction and processing of raw materials, particularly Aluminum and Circuit Board components, represent the largest share (approx. 51.5%) of the total PCF.</w:t>
      </w:r>
    </w:p>
    <w:p>
      <w:pPr>
        <w:numPr>
          <w:ilvl w:val="0"/>
          <w:numId w:val="1016"/>
        </w:numPr>
        <w:pStyle w:val="Compact"/>
      </w:pPr>
      <w:r>
        <w:rPr>
          <w:bCs/>
          <w:b/>
        </w:rPr>
        <w:t xml:space="preserve">Use Phase (Scope 3, Category 11):</w:t>
      </w:r>
      <w:r>
        <w:t xml:space="preserve"> </w:t>
      </w:r>
      <w:r>
        <w:t xml:space="preserve">Energy consumption during the 3-year lifespan contributes 4.50 kg CO2e/unit, making it the second largest hotspot (approx. 38.3%).</w:t>
      </w:r>
    </w:p>
    <w:p>
      <w:pPr>
        <w:numPr>
          <w:ilvl w:val="0"/>
          <w:numId w:val="1016"/>
        </w:numPr>
        <w:pStyle w:val="Compact"/>
      </w:pPr>
      <w:r>
        <w:rPr>
          <w:bCs/>
          <w:b/>
        </w:rPr>
        <w:t xml:space="preserve">Manufacturing (Scope 2):</w:t>
      </w:r>
      <w:r>
        <w:t xml:space="preserve"> </w:t>
      </w:r>
      <w:r>
        <w:t xml:space="preserve">Purchased electricity for manufacturing, even with 40% renewable energy, contributes 0.90 kg CO2e/unit (approx. 7.7%).</w:t>
      </w:r>
    </w:p>
    <w:bookmarkEnd w:id="52"/>
    <w:bookmarkStart w:id="53" w:name="reliability-assessment"/>
    <w:p>
      <w:pPr>
        <w:pStyle w:val="Heading3"/>
      </w:pPr>
      <w:r>
        <w:t xml:space="preserve">6.2. Reliability Assessment</w:t>
      </w:r>
    </w:p>
    <w:p>
      <w:pPr>
        <w:pStyle w:val="FirstParagraph"/>
      </w:pPr>
      <w:r>
        <w:t xml:space="preserve">The reliability of this PCF is considered high, given the use of specific primary data for the</w:t>
      </w:r>
      <w:r>
        <w:t xml:space="preserve"> </w:t>
      </w:r>
      <w:r>
        <w:t xml:space="preserve">Bill of Materials, manufacturing energy, and detailed logistics information. Industry-standard</w:t>
      </w:r>
      <w:r>
        <w:t xml:space="preserve"> </w:t>
      </w:r>
      <w:r>
        <w:t xml:space="preserve">secondary emission factors from reputable databases (Ecoinvent, DEFRA-equivalent) were used</w:t>
      </w:r>
      <w:r>
        <w:t xml:space="preserve"> </w:t>
      </w:r>
      <w:r>
        <w:t xml:space="preserve">for processes where primary data was unavailable. The comprehensive approach to Scope 3</w:t>
      </w:r>
      <w:r>
        <w:t xml:space="preserve"> </w:t>
      </w:r>
      <w:r>
        <w:t xml:space="preserve">reporting and adherence to GHG Protocol standards further enhances the reliability.</w:t>
      </w:r>
      <w:r>
        <w:t xml:space="preserve"> </w:t>
      </w:r>
      <w:r>
        <w:t xml:space="preserve">Uncertainties primarily stem from the representativeness of generic emission factors</w:t>
      </w:r>
      <w:r>
        <w:t xml:space="preserve"> </w:t>
      </w:r>
      <w:r>
        <w:t xml:space="preserve">and the assumptions made for average transport distances and energy mixes.</w:t>
      </w:r>
    </w:p>
    <w:bookmarkEnd w:id="53"/>
    <w:bookmarkStart w:id="54" w:name="recommendations-for-emission-reduction"/>
    <w:p>
      <w:pPr>
        <w:pStyle w:val="Heading3"/>
      </w:pPr>
      <w:r>
        <w:t xml:space="preserve">6.3. Recommendations for Emission Reduction</w:t>
      </w:r>
    </w:p>
    <w:p>
      <w:pPr>
        <w:pStyle w:val="FirstParagraph"/>
      </w:pPr>
      <w:r>
        <w:t xml:space="preserve">To reduce the PCF of xifhyoirgf, hrettwlltj should focus on the following areas:</w:t>
      </w:r>
    </w:p>
    <w:p>
      <w:pPr>
        <w:numPr>
          <w:ilvl w:val="0"/>
          <w:numId w:val="1017"/>
        </w:numPr>
        <w:pStyle w:val="Compact"/>
      </w:pPr>
      <w:r>
        <w:rPr>
          <w:bCs/>
          <w:b/>
        </w:rPr>
        <w:t xml:space="preserve">Material Optimization:</w:t>
      </w:r>
    </w:p>
    <w:p>
      <w:pPr>
        <w:numPr>
          <w:ilvl w:val="1"/>
          <w:numId w:val="1018"/>
        </w:numPr>
        <w:pStyle w:val="Compact"/>
      </w:pPr>
      <w:r>
        <w:t xml:space="preserve">Explore lightweighting opportunities and alternative lower-carbon materials for the aluminum casing and other high-impact components.</w:t>
      </w:r>
    </w:p>
    <w:p>
      <w:pPr>
        <w:numPr>
          <w:ilvl w:val="1"/>
          <w:numId w:val="1018"/>
        </w:numPr>
        <w:pStyle w:val="Compact"/>
      </w:pPr>
      <w:r>
        <w:t xml:space="preserve">Engage with suppliers to encourage the use of recycled content and renewable energy in their production processes.</w:t>
      </w:r>
    </w:p>
    <w:p>
      <w:pPr>
        <w:numPr>
          <w:ilvl w:val="0"/>
          <w:numId w:val="1017"/>
        </w:numPr>
        <w:pStyle w:val="Compact"/>
      </w:pPr>
      <w:r>
        <w:rPr>
          <w:bCs/>
          <w:b/>
        </w:rPr>
        <w:t xml:space="preserve">Energy Efficiency in Use:</w:t>
      </w:r>
    </w:p>
    <w:p>
      <w:pPr>
        <w:numPr>
          <w:ilvl w:val="1"/>
          <w:numId w:val="1019"/>
        </w:numPr>
        <w:pStyle w:val="Compact"/>
      </w:pPr>
      <w:r>
        <w:t xml:space="preserve">Invest in research and development to improve the energy efficiency of xifhyoirgf during its operational life.</w:t>
      </w:r>
    </w:p>
    <w:p>
      <w:pPr>
        <w:numPr>
          <w:ilvl w:val="1"/>
          <w:numId w:val="1019"/>
        </w:numPr>
        <w:pStyle w:val="Compact"/>
      </w:pPr>
      <w:r>
        <w:t xml:space="preserve">Educate customers on energy-saving practices during product use.</w:t>
      </w:r>
    </w:p>
    <w:p>
      <w:pPr>
        <w:numPr>
          <w:ilvl w:val="0"/>
          <w:numId w:val="1017"/>
        </w:numPr>
        <w:pStyle w:val="Compact"/>
      </w:pPr>
      <w:r>
        <w:rPr>
          <w:bCs/>
          <w:b/>
        </w:rPr>
        <w:t xml:space="preserve">Manufacturing Decarbonization:</w:t>
      </w:r>
    </w:p>
    <w:p>
      <w:pPr>
        <w:numPr>
          <w:ilvl w:val="1"/>
          <w:numId w:val="1020"/>
        </w:numPr>
        <w:pStyle w:val="Compact"/>
      </w:pPr>
      <w:r>
        <w:t xml:space="preserve">Increase the percentage of renewable energy used in the final production facility beyond 40%.</w:t>
      </w:r>
    </w:p>
    <w:p>
      <w:pPr>
        <w:numPr>
          <w:ilvl w:val="1"/>
          <w:numId w:val="1020"/>
        </w:numPr>
        <w:pStyle w:val="Compact"/>
      </w:pPr>
      <w:r>
        <w:t xml:space="preserve">Implement energy efficiency measures within the manufacturing process to reduce overall electricity consumption.</w:t>
      </w:r>
    </w:p>
    <w:p>
      <w:pPr>
        <w:numPr>
          <w:ilvl w:val="0"/>
          <w:numId w:val="1017"/>
        </w:numPr>
        <w:pStyle w:val="Compact"/>
      </w:pPr>
      <w:r>
        <w:rPr>
          <w:bCs/>
          <w:b/>
        </w:rPr>
        <w:t xml:space="preserve">Circular Economy Enhancement:</w:t>
      </w:r>
    </w:p>
    <w:p>
      <w:pPr>
        <w:numPr>
          <w:ilvl w:val="1"/>
          <w:numId w:val="1021"/>
        </w:numPr>
        <w:pStyle w:val="Compact"/>
      </w:pPr>
      <w:r>
        <w:t xml:space="preserve">Strengthen the existing take-back program and explore opportunities to increase the recyclability percentage beyond 75%.</w:t>
      </w:r>
    </w:p>
    <w:p>
      <w:pPr>
        <w:numPr>
          <w:ilvl w:val="1"/>
          <w:numId w:val="1021"/>
        </w:numPr>
        <w:pStyle w:val="Compact"/>
      </w:pPr>
      <w:r>
        <w:t xml:space="preserve">Investigate possibilities for product refurbishment or remanufacturing to extend lifespan.</w:t>
      </w:r>
    </w:p>
    <w:p>
      <w:r>
        <w:pict>
          <v:rect style="width:0;height:1.5pt" o:hralign="center" o:hrstd="t" o:hr="t"/>
        </w:pict>
      </w:r>
    </w:p>
    <w:bookmarkEnd w:id="54"/>
    <w:bookmarkEnd w:id="55"/>
    <w:bookmarkStart w:id="56" w:name="conclusion"/>
    <w:p>
      <w:pPr>
        <w:pStyle w:val="Heading2"/>
      </w:pPr>
      <w:r>
        <w:t xml:space="preserve">7. Conclusion</w:t>
      </w:r>
    </w:p>
    <w:p>
      <w:pPr>
        <w:pStyle w:val="FirstParagraph"/>
      </w:pPr>
      <w:r>
        <w:t xml:space="preserve">This Product Carbon Footprint analysis provides hrettwlltj with a robust baseline for</w:t>
      </w:r>
      <w:r>
        <w:t xml:space="preserve"> </w:t>
      </w:r>
      <w:r>
        <w:t xml:space="preserve">understanding the environmental impact of xifhyoirgf. The identified hotspots offer clear</w:t>
      </w:r>
      <w:r>
        <w:t xml:space="preserve"> </w:t>
      </w:r>
      <w:r>
        <w:t xml:space="preserve">targets for strategic emission reduction initiatives across the product\'s lifecycle.</w:t>
      </w:r>
      <w:r>
        <w:t xml:space="preserve"> </w:t>
      </w:r>
      <w:r>
        <w:t xml:space="preserve">By focusing on material circularity, energy efficiency in manufacturing and use, and</w:t>
      </w:r>
      <w:r>
        <w:t xml:space="preserve"> </w:t>
      </w:r>
      <w:r>
        <w:t xml:space="preserve">optimizing logistics, hrettwlltj can significantly lower the PCF of xifhyoirgf</w:t>
      </w:r>
      <w:r>
        <w:t xml:space="preserve"> </w:t>
      </w:r>
      <w:r>
        <w:t xml:space="preserve">and contribute to its overall sustainability goals.</w:t>
      </w:r>
    </w:p>
    <w:p>
      <w:r>
        <w:pict>
          <v:rect style="width:0;height:1.5pt" o:hralign="center" o:hrstd="t" o:hr="t"/>
        </w:pict>
      </w:r>
    </w:p>
    <w:p>
      <w:pPr>
        <w:pStyle w:val="FirstParagraph"/>
      </w:pPr>
      <w:r>
        <w:t xml:space="preserve">Confidential - Internal Use Only</w:t>
      </w:r>
    </w:p>
    <w:p>
      <w:pPr>
        <w:pStyle w:val="BodyText"/>
      </w:pPr>
      <w:r>
        <w:t xml:space="preserve">© 2026 hrettwlltj. All Rights Reserved.</w:t>
      </w:r>
    </w:p>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xifhyoirgf</dc:title>
  <dc:creator/>
  <dc:description>Detailed Product Carbon Footprint (PCF) analysis report for xifhyoirgf, adhering to GHG Protocol standards and incorporating 2026 LSR updates.</dc:description>
  <dc:language>en</dc:language>
  <cp:keywords/>
  <dcterms:created xsi:type="dcterms:W3CDTF">2026-07-15T21:09:57Z</dcterms:created>
  <dcterms:modified xsi:type="dcterms:W3CDTF">2026-07-15T21:09:57Z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