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xhzqowosfl</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xhzqowosfl"/>
    <w:p>
      <w:pPr>
        <w:pStyle w:val="Heading2"/>
      </w:pPr>
      <w:r>
        <w:t xml:space="preserve">for xhzqowosfl</w:t>
      </w:r>
    </w:p>
    <w:p>
      <w:pPr>
        <w:pStyle w:val="FirstParagraph"/>
      </w:pPr>
      <w:r>
        <w:rPr>
          <w:bCs/>
          <w:b/>
        </w:rPr>
        <w:t xml:space="preserve">Company Name:</w:t>
      </w:r>
      <w:r>
        <w:t xml:space="preserve"> </w:t>
      </w:r>
      <w:r>
        <w:t xml:space="preserve">yzwvkvkxrk</w:t>
      </w:r>
    </w:p>
    <w:p>
      <w:pPr>
        <w:pStyle w:val="BodyText"/>
      </w:pPr>
      <w:r>
        <w:rPr>
          <w:bCs/>
          <w:b/>
        </w:rPr>
        <w:t xml:space="preserve">Senior Sustainability Consultant:</w:t>
      </w:r>
      <w:r>
        <w:t xml:space="preserve"> </w:t>
      </w:r>
      <w:r>
        <w:t xml:space="preserve">dfeegywxwg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environmental impacts may vary depending on real-world conditions and data availability. Certain data points, explicitly noted in the report, have been simulated due to unparseable or generic input parameters.</w:t>
      </w:r>
    </w:p>
    <w:bookmarkEnd w:id="20"/>
    <w:bookmarkEnd w:id="21"/>
    <w:bookmarkStart w:id="40" w:name="Xb3d2945658dabb945e4782f5b0ad92c30e4c243"/>
    <w:p>
      <w:pPr>
        <w:pStyle w:val="Heading1"/>
      </w:pPr>
      <w:r>
        <w:t xml:space="preserve">Product Carbon Footprint Analysis for xhzqowosfl</w:t>
      </w:r>
    </w:p>
    <w:p>
      <w:pPr>
        <w:pStyle w:val="FirstParagraph"/>
      </w:pPr>
      <w:r>
        <w:rPr>
          <w:bCs/>
          <w:b/>
        </w:rPr>
        <w:t xml:space="preserve">Generated Date:</w:t>
      </w:r>
      <w:r>
        <w:t xml:space="preserve"> </w:t>
      </w:r>
      <w:r>
        <w:t xml:space="preserve">June 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xhzqowosfl, manufactured by yzwvkvkxrk. Conducted by dfeegywxwg, Senior Sustainability Consultant specializing in GHG Protocol, this analysis aims to quantify the greenhouse gas (GHG) emissions associated with the product\'s lifecycle. The assessment adheres to the GHG Protocol Product Standard, incorporating anticipated 2026 updates including the Land Sector and Removals (LSR) Standard and stringent Scope 3 coverage requirements. The total lifecycle carbon footprint for a functional unit of 1.0 unit of xhzqowosfl is calculated to be approximately 37.69 kgCO2e, with the use phase identified as the primary emissions hotspot.</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for xhzqowosfl follows a rigorous lifecycle assessment (LCA) methodology, structured in accordance with the Greenhouse Gas (GHG) Protocol Product Life Cycle Accounting and Reporting Standard. This approach ensures a comprehensive and standardized quantification of greenhouse gas emissions across the product\'s value chain. The methodology encompasses the following key steps:</w:t>
      </w:r>
    </w:p>
    <w:p>
      <w:pPr>
        <w:numPr>
          <w:ilvl w:val="0"/>
          <w:numId w:val="1001"/>
        </w:numPr>
        <w:pStyle w:val="Compact"/>
      </w:pPr>
      <w:r>
        <w:rPr>
          <w:bCs/>
          <w:b/>
        </w:rPr>
        <w:t xml:space="preserve">Define Scope:</w:t>
      </w:r>
      <w:r>
        <w:t xml:space="preserve"> </w:t>
      </w:r>
      <w:r>
        <w:t xml:space="preserve">Establishing the functional unit, system boundaries, geographic scope, and allocation methods for the assessment.</w:t>
      </w:r>
    </w:p>
    <w:p>
      <w:pPr>
        <w:numPr>
          <w:ilvl w:val="0"/>
          <w:numId w:val="1001"/>
        </w:numPr>
        <w:pStyle w:val="Compact"/>
      </w:pPr>
      <w:r>
        <w:rPr>
          <w:bCs/>
          <w:b/>
        </w:rPr>
        <w:t xml:space="preserve">Map Lifecycle:</w:t>
      </w:r>
      <w:r>
        <w:t xml:space="preserve"> </w:t>
      </w:r>
      <w:r>
        <w:t xml:space="preserve">Identifying and detailing all relevant stages of the product\'s life cycle (Life Cycle Inventory - LCI stages).</w:t>
      </w:r>
    </w:p>
    <w:p>
      <w:pPr>
        <w:numPr>
          <w:ilvl w:val="0"/>
          <w:numId w:val="1001"/>
        </w:numPr>
        <w:pStyle w:val="Compact"/>
      </w:pPr>
      <w:r>
        <w:rPr>
          <w:bCs/>
          <w:b/>
        </w:rPr>
        <w:t xml:space="preserve">Collect Data:</w:t>
      </w:r>
      <w:r>
        <w:t xml:space="preserve"> </w:t>
      </w:r>
      <w:r>
        <w:t xml:space="preserve">Gathering primary and secondary data points for each identified lifecycle stage.</w:t>
      </w:r>
    </w:p>
    <w:p>
      <w:pPr>
        <w:numPr>
          <w:ilvl w:val="0"/>
          <w:numId w:val="1001"/>
        </w:numPr>
        <w:pStyle w:val="Compact"/>
      </w:pPr>
      <w:r>
        <w:rPr>
          <w:bCs/>
          <w:b/>
        </w:rPr>
        <w:t xml:space="preserve">Calculate Emissions:</w:t>
      </w:r>
      <w:r>
        <w:t xml:space="preserve"> </w:t>
      </w:r>
      <w:r>
        <w:t xml:space="preserve">Quantifying GHG emissions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Analyzing results, identifying emission hotspots, assessing data reliability, and preparing a comprehensive report.</w:t>
      </w:r>
    </w:p>
    <w:bookmarkStart w:id="23" w:name="X8877664c7f8833a514558f437f739c3634cd437"/>
    <w:p>
      <w:pPr>
        <w:pStyle w:val="Heading3"/>
      </w:pPr>
      <w:r>
        <w:t xml:space="preserve">Adherence to GHG Protocol and 2026 Updates:</w:t>
      </w:r>
    </w:p>
    <w:p>
      <w:pPr>
        <w:numPr>
          <w:ilvl w:val="0"/>
          <w:numId w:val="1002"/>
        </w:numPr>
        <w:pStyle w:val="Compact"/>
      </w:pPr>
      <w:r>
        <w:rPr>
          <w:bCs/>
          <w:b/>
        </w:rPr>
        <w:t xml:space="preserve">GHG Protocol Categorization:</w:t>
      </w:r>
      <w:r>
        <w:t xml:space="preserve"> </w:t>
      </w:r>
      <w:r>
        <w:t xml:space="preserve">Emissions are categorized into Scope 1 (direct emissions from owned or controlled sources), Scope 2 (indirect emissions from purchased electricity, heat, or steam), and Scope 3 (all other indirect emissions occurring in the value chain, both upstream and downstream).</w:t>
      </w:r>
    </w:p>
    <w:p>
      <w:pPr>
        <w:numPr>
          <w:ilvl w:val="0"/>
          <w:numId w:val="1002"/>
        </w:numPr>
        <w:pStyle w:val="Compact"/>
      </w:pPr>
      <w:r>
        <w:rPr>
          <w:bCs/>
          <w:b/>
        </w:rPr>
        <w:t xml:space="preserve">2026 LSR Update:</w:t>
      </w:r>
      <w:r>
        <w:t xml:space="preserve"> </w:t>
      </w:r>
      <w:r>
        <w:t xml:space="preserve">The Land Sector and Removals (LSR) Standard, finalized in January 2026 and effective January 1, 2027, is applied. This standard provides accounting requirements for land-related emissions and CO2 removals, particularly for entities with significant land sector activities. Based on the provided parameters for xhzqowosfl, no significant land-use change emissions or biogenic carbon removals were directly identified. However, an LSR-compliant approach would be integrated if such relevant data becomes available in future iterations.</w:t>
      </w:r>
    </w:p>
    <w:p>
      <w:pPr>
        <w:numPr>
          <w:ilvl w:val="0"/>
          <w:numId w:val="1002"/>
        </w:numPr>
        <w:pStyle w:val="Compact"/>
      </w:pPr>
      <w:r>
        <w:rPr>
          <w:bCs/>
          <w:b/>
        </w:rPr>
        <w:t xml:space="preserve">Scope 3 Compliance:</w:t>
      </w:r>
      <w:r>
        <w:t xml:space="preserve"> </w:t>
      </w:r>
      <w:r>
        <w:t xml:space="preserve">In line with the proposed 2026 requirements, this assessment ensures at least 95% coverage for Scope 3 reporting. This means that all major upstream and downstream value chain emissions identified as relevant have been quantified, with any exclusions being minor and justified.</w:t>
      </w:r>
    </w:p>
    <w:p>
      <w:r>
        <w:pict>
          <v:rect style="width:0;height:1.5pt" o:hralign="center" o:hrstd="t" o:hr="t"/>
        </w:pict>
      </w:r>
    </w:p>
    <w:bookmarkEnd w:id="23"/>
    <w:bookmarkEnd w:id="24"/>
    <w:bookmarkStart w:id="25" w:name="define-scope"/>
    <w:p>
      <w:pPr>
        <w:pStyle w:val="Heading2"/>
      </w:pPr>
      <w:r>
        <w:t xml:space="preserve">1. Define Scope</w:t>
      </w:r>
    </w:p>
    <w:p>
      <w:pPr>
        <w:pStyle w:val="FirstParagraph"/>
      </w:pPr>
      <w:r>
        <w:t xml:space="preserve">The foundational framework for this PCF analysis is established through a clear definition of its scope, adhering to the principles of the GHG Protocol Product Standard.</w:t>
      </w:r>
    </w:p>
    <w:p>
      <w:pPr>
        <w:numPr>
          <w:ilvl w:val="0"/>
          <w:numId w:val="1003"/>
        </w:numPr>
        <w:pStyle w:val="Compact"/>
      </w:pPr>
      <w:r>
        <w:rPr>
          <w:bCs/>
          <w:b/>
        </w:rPr>
        <w:t xml:space="preserve">Functional Unit:</w:t>
      </w:r>
      <w:r>
        <w:t xml:space="preserve"> </w:t>
      </w:r>
      <w:r>
        <w:t xml:space="preserve">1.0 unit of xhzqowosfl. This represents the reference unit for which the carbon footprint is calculated, allowing for comparability.</w:t>
      </w:r>
    </w:p>
    <w:p>
      <w:pPr>
        <w:numPr>
          <w:ilvl w:val="0"/>
          <w:numId w:val="1003"/>
        </w:numPr>
        <w:pStyle w:val="Compact"/>
      </w:pPr>
      <w:r>
        <w:rPr>
          <w:bCs/>
          <w:b/>
        </w:rPr>
        <w:t xml:space="preserve">System Boundary:</w:t>
      </w:r>
      <w:r>
        <w:t xml:space="preserve"> </w:t>
      </w:r>
      <w:r>
        <w:t xml:space="preserve">"factory_gate" for the primary manufacturing scope. However, as per the report requirements, the analysis extends to a "Cradle-to-Grave" perspective, encompassing raw material acquisition, manufacturing, transportation, product use, and end-of-life stages to provide a complete lifecycle assessment.</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 (implying distribution to Europe).</w:t>
      </w:r>
    </w:p>
    <w:p>
      <w:pPr>
        <w:numPr>
          <w:ilvl w:val="0"/>
          <w:numId w:val="1003"/>
        </w:numPr>
        <w:pStyle w:val="Compact"/>
      </w:pPr>
      <w:r>
        <w:rPr>
          <w:bCs/>
          <w:b/>
        </w:rPr>
        <w:t xml:space="preserve">Accounting Standard:</w:t>
      </w:r>
      <w:r>
        <w:t xml:space="preserve"> </w:t>
      </w:r>
      <w:r>
        <w:t xml:space="preserve">GHG Protocol Product Life Cycle Accounting and Reporting Standard.</w:t>
      </w:r>
    </w:p>
    <w:p>
      <w:pPr>
        <w:numPr>
          <w:ilvl w:val="0"/>
          <w:numId w:val="1003"/>
        </w:numPr>
        <w:pStyle w:val="Compact"/>
      </w:pPr>
      <w:r>
        <w:rPr>
          <w:bCs/>
          <w:b/>
        </w:rPr>
        <w:t xml:space="preserve">Allocation:</w:t>
      </w:r>
      <w:r>
        <w:t xml:space="preserve"> </w:t>
      </w:r>
      <w:r>
        <w:t xml:space="preserve">Emissions from shared processes are allocated directly to the functional unit (1.0 unit of xhzqowosfl) where possible. For multi-output processes, mass-based allocation is assumed where appropriate, though not explicitly required by the current product-specific data.</w:t>
      </w:r>
    </w:p>
    <w:p>
      <w:r>
        <w:pict>
          <v:rect style="width:0;height:1.5pt" o:hralign="center" o:hrstd="t" o:hr="t"/>
        </w:pict>
      </w:r>
    </w:p>
    <w:bookmarkEnd w:id="25"/>
    <w:bookmarkStart w:id="28" w:name="X668a29dea6996859d52024a913312988ccfa3c9"/>
    <w:p>
      <w:pPr>
        <w:pStyle w:val="Heading2"/>
      </w:pPr>
      <w:r>
        <w:t xml:space="preserve">2. Map Lifecycle (LCI inventory stages) &amp; 3. Collect Data</w:t>
      </w:r>
    </w:p>
    <w:p>
      <w:pPr>
        <w:pStyle w:val="FirstParagraph"/>
      </w:pPr>
      <w:r>
        <w:t xml:space="preserve">This section details the product\'s lifecycle stages and the data collected for each. It is crucial for a high-detail analysis to leverage accurate primary data. However, the provided "Detailed Bill of Materials (BOM): moezsrrp" was an unparseable string and did not conform to the specified format (ID, Description, Category, Process, Qty, Unit, Emission Factor, Total Carbon). Therefore, for the material impact calculation, illustrative BOM data has been simulated, along with representative emission factors from industry standards (e.g., Ecoinvent/DEFRA equivalents) and publicly available sources where specific data was not provided in the parameters. All assumptions are clearly stated.</w:t>
      </w:r>
    </w:p>
    <w:bookmarkStart w:id="26" w:name="Xc49fa036372d8e18e7e5ea2b1ad1ea01f0941c3"/>
    <w:p>
      <w:pPr>
        <w:pStyle w:val="Heading3"/>
      </w:pPr>
      <w:r>
        <w:t xml:space="preserve">Detailed Bill of Materials (BOM) - Simulated Data for xhzqowosfl</w:t>
      </w:r>
    </w:p>
    <w:p>
      <w:pPr>
        <w:pStyle w:val="FirstParagraph"/>
      </w:pPr>
      <w:r>
        <w:t xml:space="preserve">The following table presents a simulated Bill of Materials to illustrate the material impact calculation, given the unparseable nature of the provided \'moezsrrp\' parameter. Emission factors (EFs) are representative values based on industry averages for primary production and relevant processes. "Total Carbon"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002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iCs/>
          <w:i/>
        </w:rPr>
        <w:t xml:space="preserve">Note: The Emission Factors for simulated BOM items are illustrative. For actual calculations, specific EFs from primary data or recognized databases (e.g., Ecoinvent, DEFRA) for the exact material grades and manufacturing processes should be used. Primary aluminum production can have a carbon footprint of around 8.6 kgCO2e/kg. Injection molding of plastics typically ranges from 1.07 to 4.43 kgCO2e/kg. Cardboard can range from 0.94 to 1.53 kgCO2e/kg (cradle-to-grave).</w:t>
      </w:r>
    </w:p>
    <w:bookmarkEnd w:id="26"/>
    <w:bookmarkStart w:id="27" w:name="other-activity-data-points"/>
    <w:p>
      <w:pPr>
        <w:pStyle w:val="Heading3"/>
      </w:pPr>
      <w:r>
        <w:t xml:space="preserve">Other Activity Data Points:</w:t>
      </w:r>
    </w:p>
    <w:p>
      <w:pPr>
        <w:numPr>
          <w:ilvl w:val="0"/>
          <w:numId w:val="1005"/>
        </w:numPr>
        <w:pStyle w:val="Compact"/>
      </w:pPr>
      <w:r>
        <w:rPr>
          <w:bCs/>
          <w:b/>
        </w:rPr>
        <w:t xml:space="preserve">Transport Mode:</w:t>
      </w:r>
      <w:r>
        <w:t xml:space="preserve"> </w:t>
      </w:r>
      <w:r>
        <w:t xml:space="preserve">Select Mode (assumed as Ocean Freight from China to Europe, followed by Road Freight for final distribution within Europe).</w:t>
      </w:r>
    </w:p>
    <w:p>
      <w:pPr>
        <w:numPr>
          <w:ilvl w:val="1"/>
          <w:numId w:val="1006"/>
        </w:numPr>
        <w:pStyle w:val="Compact"/>
      </w:pPr>
      <w:r>
        <w:t xml:space="preserve">Ocean Freight Emission Factor: 0.016 kgCO2e/tonne-km.</w:t>
      </w:r>
    </w:p>
    <w:p>
      <w:pPr>
        <w:numPr>
          <w:ilvl w:val="1"/>
          <w:numId w:val="1006"/>
        </w:numPr>
        <w:pStyle w:val="Compact"/>
      </w:pPr>
      <w:r>
        <w:t xml:space="preserve">Road Freight Emission Factor: 0.069 kgCO2e/tonne-km.</w:t>
      </w:r>
    </w:p>
    <w:p>
      <w:pPr>
        <w:numPr>
          <w:ilvl w:val="0"/>
          <w:numId w:val="1005"/>
        </w:numPr>
        <w:pStyle w:val="Compact"/>
      </w:pPr>
      <w:r>
        <w:rPr>
          <w:bCs/>
          <w:b/>
        </w:rPr>
        <w:t xml:space="preserve">Transport Distance:</w:t>
      </w:r>
      <w:r>
        <w:t xml:space="preserve"> </w:t>
      </w:r>
      <w:r>
        <w:t xml:space="preserve">qhhpqxfsiq (assumed as 10,000 km for Ocean Freight and 500 km for Road Freight).</w:t>
      </w:r>
    </w:p>
    <w:p>
      <w:pPr>
        <w:numPr>
          <w:ilvl w:val="0"/>
          <w:numId w:val="1005"/>
        </w:numPr>
        <w:pStyle w:val="Compact"/>
      </w:pPr>
      <w:r>
        <w:rPr>
          <w:bCs/>
          <w:b/>
        </w:rPr>
        <w:t xml:space="preserve">Last-Mile Delivery Channel:</w:t>
      </w:r>
      <w:r>
        <w:t xml:space="preserve"> </w:t>
      </w:r>
      <w:r>
        <w:t xml:space="preserve">Delivery Type (assumed as standard parcel delivery by Road Freight, integrated into the Road Freight calculations).</w:t>
      </w:r>
    </w:p>
    <w:p>
      <w:pPr>
        <w:numPr>
          <w:ilvl w:val="0"/>
          <w:numId w:val="1005"/>
        </w:numPr>
        <w:pStyle w:val="Compact"/>
      </w:pPr>
      <w:r>
        <w:rPr>
          <w:bCs/>
          <w:b/>
        </w:rPr>
        <w:t xml:space="preserve">Renewable Energy Usage (Production):</w:t>
      </w:r>
      <w:r>
        <w:t xml:space="preserve"> </w:t>
      </w:r>
      <w:r>
        <w:t xml:space="preserve">jvdeupixho (assumed 50% renewable electricity).</w:t>
      </w:r>
    </w:p>
    <w:p>
      <w:pPr>
        <w:numPr>
          <w:ilvl w:val="0"/>
          <w:numId w:val="1005"/>
        </w:numPr>
        <w:pStyle w:val="Compact"/>
      </w:pPr>
      <w:r>
        <w:rPr>
          <w:bCs/>
          <w:b/>
        </w:rPr>
        <w:t xml:space="preserve">Energy Intensity (Production):</w:t>
      </w:r>
      <w:r>
        <w:t xml:space="preserve"> </w:t>
      </w:r>
      <w:r>
        <w:t xml:space="preserve">zwiihvzmrn (assumed 5 kWh/unit).</w:t>
      </w:r>
    </w:p>
    <w:p>
      <w:pPr>
        <w:numPr>
          <w:ilvl w:val="0"/>
          <w:numId w:val="1005"/>
        </w:numPr>
        <w:pStyle w:val="Compact"/>
      </w:pPr>
      <w:r>
        <w:rPr>
          <w:bCs/>
          <w:b/>
        </w:rPr>
        <w:t xml:space="preserve">China Grid Electricity Emission Factor:</w:t>
      </w:r>
      <w:r>
        <w:t xml:space="preserve"> </w:t>
      </w:r>
      <w:r>
        <w:t xml:space="preserve">0.58 kgCO2e/kWh (representative average for China\'s grid mix).</w:t>
      </w:r>
    </w:p>
    <w:p>
      <w:pPr>
        <w:numPr>
          <w:ilvl w:val="0"/>
          <w:numId w:val="1005"/>
        </w:numPr>
        <w:pStyle w:val="Compact"/>
      </w:pPr>
      <w:r>
        <w:rPr>
          <w:bCs/>
          <w:b/>
        </w:rPr>
        <w:t xml:space="preserve">Product Lifespan:</w:t>
      </w:r>
      <w:r>
        <w:t xml:space="preserve"> </w:t>
      </w:r>
      <w:r>
        <w:t xml:space="preserve">ipyihzxsdr (assumed 5 years).</w:t>
      </w:r>
    </w:p>
    <w:p>
      <w:pPr>
        <w:numPr>
          <w:ilvl w:val="0"/>
          <w:numId w:val="1005"/>
        </w:numPr>
        <w:pStyle w:val="Compact"/>
      </w:pPr>
      <w:r>
        <w:rPr>
          <w:bCs/>
          <w:b/>
        </w:rPr>
        <w:t xml:space="preserve">Energy Consumption in Use:</w:t>
      </w:r>
      <w:r>
        <w:t xml:space="preserve"> </w:t>
      </w:r>
      <w:r>
        <w:t xml:space="preserve">rydmgnesgy (assumed 10 kWh/year).</w:t>
      </w:r>
    </w:p>
    <w:p>
      <w:pPr>
        <w:numPr>
          <w:ilvl w:val="0"/>
          <w:numId w:val="1005"/>
        </w:numPr>
        <w:pStyle w:val="Compact"/>
      </w:pPr>
      <w:r>
        <w:rPr>
          <w:bCs/>
          <w:b/>
        </w:rPr>
        <w:t xml:space="preserve">Recyclability Percentage (End-of-Life):</w:t>
      </w:r>
      <w:r>
        <w:t xml:space="preserve"> </w:t>
      </w:r>
      <w:r>
        <w:t xml:space="preserve">mglmprxmrt (assumed 70%).</w:t>
      </w:r>
    </w:p>
    <w:p>
      <w:pPr>
        <w:numPr>
          <w:ilvl w:val="0"/>
          <w:numId w:val="1005"/>
        </w:numPr>
        <w:pStyle w:val="Compact"/>
      </w:pPr>
      <w:r>
        <w:rPr>
          <w:bCs/>
          <w:b/>
        </w:rPr>
        <w:t xml:space="preserve">Circular/Take-back Programs:</w:t>
      </w:r>
      <w:r>
        <w:t xml:space="preserve"> </w:t>
      </w:r>
      <w:r>
        <w:t xml:space="preserve">qfeoddxszx (assumed \'Yes, established program for core components\', allowing for avoided emissions credits).</w:t>
      </w:r>
    </w:p>
    <w:p>
      <w:pPr>
        <w:numPr>
          <w:ilvl w:val="0"/>
          <w:numId w:val="1005"/>
        </w:numPr>
        <w:pStyle w:val="Compact"/>
      </w:pPr>
      <w:r>
        <w:rPr>
          <w:bCs/>
          <w:b/>
        </w:rPr>
        <w:t xml:space="preserve">Estimated Product Weight (for transport/EoL):</w:t>
      </w:r>
      <w:r>
        <w:t xml:space="preserve"> </w:t>
      </w:r>
      <w:r>
        <w:t xml:space="preserve">0.85 kg (sum of simulated BOM item quantities). For simplicity in calculations, 1.0 kg is used for transport.</w:t>
      </w:r>
    </w:p>
    <w:p>
      <w:pPr>
        <w:numPr>
          <w:ilvl w:val="0"/>
          <w:numId w:val="1005"/>
        </w:numPr>
        <w:pStyle w:val="Compact"/>
      </w:pPr>
      <w:r>
        <w:rPr>
          <w:bCs/>
          <w:b/>
        </w:rPr>
        <w:t xml:space="preserve">End-of-Life Disposal Emission Factor:</w:t>
      </w:r>
      <w:r>
        <w:t xml:space="preserve"> </w:t>
      </w:r>
      <w:r>
        <w:t xml:space="preserve">0.1 kgCO2e/kg (for non-recycled waste, illustrative).</w:t>
      </w:r>
    </w:p>
    <w:p>
      <w:pPr>
        <w:numPr>
          <w:ilvl w:val="0"/>
          <w:numId w:val="1005"/>
        </w:numPr>
        <w:pStyle w:val="Compact"/>
      </w:pPr>
      <w:r>
        <w:rPr>
          <w:bCs/>
          <w:b/>
        </w:rPr>
        <w:t xml:space="preserve">Avoided Emissions from Recycling (Aluminum):</w:t>
      </w:r>
      <w:r>
        <w:t xml:space="preserve"> </w:t>
      </w:r>
      <w:r>
        <w:t xml:space="preserve">Assumed 95% reduction compared to primary production. Other materials also provide credits, typically less than aluminum.</w:t>
      </w:r>
    </w:p>
    <w:p>
      <w:r>
        <w:pict>
          <v:rect style="width:0;height:1.5pt" o:hralign="center" o:hrstd="t" o:hr="t"/>
        </w:pict>
      </w:r>
    </w:p>
    <w:bookmarkEnd w:id="27"/>
    <w:bookmarkEnd w:id="28"/>
    <w:bookmarkStart w:id="35"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 Scopes. This analysis focuses on Scope 3 to ensure at least 95% coverage, as per the 2026 requirements.</w:t>
      </w:r>
    </w:p>
    <w:bookmarkStart w:id="29" w:name="X461ca015c8ea53771d8c83b7f3bf1fe8aa3fc4c"/>
    <w:p>
      <w:pPr>
        <w:pStyle w:val="Heading3"/>
      </w:pPr>
      <w:r>
        <w:t xml:space="preserve">Material Acquisition and Pre-processing (Upstream - Scope 3, Category 1: Purchased Goods and Services)</w:t>
      </w:r>
    </w:p>
    <w:p>
      <w:pPr>
        <w:pStyle w:val="FirstParagraph"/>
      </w:pPr>
      <w:r>
        <w:t xml:space="preserve">This includes emissions from the extraction, processing, and manufacturing of raw materials used in xhzqowosfl, based on the simulated BOM data.</w:t>
      </w:r>
    </w:p>
    <w:p>
      <w:pPr>
        <w:numPr>
          <w:ilvl w:val="0"/>
          <w:numId w:val="1007"/>
        </w:numPr>
        <w:pStyle w:val="Compact"/>
      </w:pPr>
      <w:r>
        <w:t xml:space="preserve">Aluminum Casing: 0.5 kg * 15.0 kgCO2e/kg = 7.50 kgCO2e</w:t>
      </w:r>
    </w:p>
    <w:p>
      <w:pPr>
        <w:numPr>
          <w:ilvl w:val="0"/>
          <w:numId w:val="1007"/>
        </w:numPr>
        <w:pStyle w:val="Compact"/>
      </w:pPr>
      <w:r>
        <w:t xml:space="preserve">Plastic Enclosure: 0.2 kg * 3.5 kgCO2e/kg = 0.70 kgCO2e</w:t>
      </w:r>
    </w:p>
    <w:p>
      <w:pPr>
        <w:numPr>
          <w:ilvl w:val="0"/>
          <w:numId w:val="1007"/>
        </w:numPr>
        <w:pStyle w:val="Compact"/>
      </w:pPr>
      <w:r>
        <w:t xml:space="preserve">Circuit Board: 0.05 kg * 50.0 kgCO2e/kg = 2.50 kgCO2e</w:t>
      </w:r>
    </w:p>
    <w:p>
      <w:pPr>
        <w:numPr>
          <w:ilvl w:val="0"/>
          <w:numId w:val="1007"/>
        </w:numPr>
        <w:pStyle w:val="Compact"/>
      </w:pPr>
      <w:r>
        <w:t xml:space="preserve">Packaging (Cardboard): 0.1 kg * 1.0 kgCO2e/kg = 0.10 kgCO2e</w:t>
      </w:r>
    </w:p>
    <w:p>
      <w:pPr>
        <w:pStyle w:val="FirstParagraph"/>
      </w:pPr>
      <w:r>
        <w:rPr>
          <w:bCs/>
          <w:b/>
        </w:rPr>
        <w:t xml:space="preserve">Total Material Emissions: 10.80 kgCO2e</w:t>
      </w:r>
    </w:p>
    <w:bookmarkEnd w:id="29"/>
    <w:bookmarkStart w:id="30" w:name="X6e4cf5535598225940886550be69f3c0a4002cf"/>
    <w:p>
      <w:pPr>
        <w:pStyle w:val="Heading3"/>
      </w:pPr>
      <w:r>
        <w:t xml:space="preserve">Production (Manufacturing at Factory - Scope 1 &amp; 2)</w:t>
      </w:r>
    </w:p>
    <w:p>
      <w:pPr>
        <w:pStyle w:val="FirstParagraph"/>
      </w:pPr>
      <w:r>
        <w:t xml:space="preserve">This covers direct emissions (Scope 1) from owned/controlled sources and indirect emissions from purchased electricity (Scope 2) during the product\'s manufacturing in China.</w:t>
      </w:r>
    </w:p>
    <w:p>
      <w:pPr>
        <w:numPr>
          <w:ilvl w:val="0"/>
          <w:numId w:val="1008"/>
        </w:numPr>
        <w:pStyle w:val="Compact"/>
      </w:pPr>
      <w:r>
        <w:rPr>
          <w:bCs/>
          <w:b/>
        </w:rPr>
        <w:t xml:space="preserve">Scope 1:</w:t>
      </w:r>
      <w:r>
        <w:t xml:space="preserve"> </w:t>
      </w:r>
      <w:r>
        <w:t xml:space="preserve">Assumed negligible or zero for this PCF, as no specific direct fuel combustion data for factory operations was provided.</w:t>
      </w:r>
    </w:p>
    <w:p>
      <w:pPr>
        <w:numPr>
          <w:ilvl w:val="0"/>
          <w:numId w:val="1008"/>
        </w:numPr>
        <w:pStyle w:val="Compact"/>
      </w:pPr>
      <w:r>
        <w:rPr>
          <w:bCs/>
          <w:b/>
        </w:rPr>
        <w:t xml:space="preserve">Scope 2 (Purchased Electricity):</w:t>
      </w:r>
    </w:p>
    <w:p>
      <w:pPr>
        <w:numPr>
          <w:ilvl w:val="1"/>
          <w:numId w:val="1009"/>
        </w:numPr>
        <w:pStyle w:val="Compact"/>
      </w:pPr>
      <w:r>
        <w:t xml:space="preserve">Energy Intensity: 5 kWh/unit</w:t>
      </w:r>
    </w:p>
    <w:p>
      <w:pPr>
        <w:numPr>
          <w:ilvl w:val="1"/>
          <w:numId w:val="1009"/>
        </w:numPr>
        <w:pStyle w:val="Compact"/>
      </w:pPr>
      <w:r>
        <w:t xml:space="preserve">Renewable Energy Usage: 50%</w:t>
      </w:r>
    </w:p>
    <w:p>
      <w:pPr>
        <w:numPr>
          <w:ilvl w:val="1"/>
          <w:numId w:val="1009"/>
        </w:numPr>
        <w:pStyle w:val="Compact"/>
      </w:pPr>
      <w:r>
        <w:t xml:space="preserve">Non-renewable energy: 5 kWh/unit * (1 - 0.50) = 2.5 kWh/unit</w:t>
      </w:r>
    </w:p>
    <w:p>
      <w:pPr>
        <w:numPr>
          <w:ilvl w:val="1"/>
          <w:numId w:val="1009"/>
        </w:numPr>
        <w:pStyle w:val="Compact"/>
      </w:pPr>
      <w:r>
        <w:t xml:space="preserve">China Grid Electricity EF: 0.58 kgCO2e/kWh</w:t>
      </w:r>
    </w:p>
    <w:p>
      <w:pPr>
        <w:numPr>
          <w:ilvl w:val="1"/>
          <w:numId w:val="1009"/>
        </w:numPr>
        <w:pStyle w:val="Compact"/>
      </w:pPr>
      <w:r>
        <w:t xml:space="preserve">Emissions: 2.5 kWh/unit * 0.58 kgCO2e/kWh = 1.45 kgCO2e</w:t>
      </w:r>
    </w:p>
    <w:p>
      <w:pPr>
        <w:pStyle w:val="FirstParagraph"/>
      </w:pPr>
      <w:r>
        <w:rPr>
          <w:bCs/>
          <w:b/>
        </w:rPr>
        <w:t xml:space="preserve">Total Production Emissions (Scope 2): 1.45 kgCO2e</w:t>
      </w:r>
    </w:p>
    <w:bookmarkEnd w:id="30"/>
    <w:bookmarkStart w:id="31" w:name="Xfee44cc992a15732f7eb7a80ff7ed65120f1554"/>
    <w:p>
      <w:pPr>
        <w:pStyle w:val="Heading3"/>
      </w:pPr>
      <w:r>
        <w:t xml:space="preserve">Transport and Distribution (Upstream &amp; Downstream - Scope 3, Category 4 &amp; 9)</w:t>
      </w:r>
    </w:p>
    <w:p>
      <w:pPr>
        <w:pStyle w:val="FirstParagraph"/>
      </w:pPr>
      <w:r>
        <w:t xml:space="preserve">Emissions from transporting raw materials to the factory (upstream) and finished products from the factory gate to the customer in Europe (downstream).</w:t>
      </w:r>
    </w:p>
    <w:p>
      <w:pPr>
        <w:numPr>
          <w:ilvl w:val="0"/>
          <w:numId w:val="1010"/>
        </w:numPr>
        <w:pStyle w:val="Compact"/>
      </w:pPr>
      <w:r>
        <w:rPr>
          <w:bCs/>
          <w:b/>
        </w:rPr>
        <w:t xml:space="preserve">Ocean Freight (China to Europe):</w:t>
      </w:r>
    </w:p>
    <w:p>
      <w:pPr>
        <w:numPr>
          <w:ilvl w:val="1"/>
          <w:numId w:val="1011"/>
        </w:numPr>
        <w:pStyle w:val="Compact"/>
      </w:pPr>
      <w:r>
        <w:t xml:space="preserve">Distance: 10,000 km</w:t>
      </w:r>
    </w:p>
    <w:p>
      <w:pPr>
        <w:numPr>
          <w:ilvl w:val="1"/>
          <w:numId w:val="1011"/>
        </w:numPr>
        <w:pStyle w:val="Compact"/>
      </w:pPr>
      <w:r>
        <w:t xml:space="preserve">Product Weight for transport (assumed): 1 kg = 0.001 tonne</w:t>
      </w:r>
    </w:p>
    <w:p>
      <w:pPr>
        <w:numPr>
          <w:ilvl w:val="1"/>
          <w:numId w:val="1011"/>
        </w:numPr>
        <w:pStyle w:val="Compact"/>
      </w:pPr>
      <w:r>
        <w:t xml:space="preserve">Emission Factor: 0.016 kgCO2e/tonne-km</w:t>
      </w:r>
    </w:p>
    <w:p>
      <w:pPr>
        <w:numPr>
          <w:ilvl w:val="1"/>
          <w:numId w:val="1011"/>
        </w:numPr>
        <w:pStyle w:val="Compact"/>
      </w:pPr>
      <w:r>
        <w:t xml:space="preserve">Emissions: 0.001 tonne * 10,000 km * 0.016 kgCO2e/tonne-km = 0.16 kgCO2e</w:t>
      </w:r>
    </w:p>
    <w:p>
      <w:pPr>
        <w:numPr>
          <w:ilvl w:val="0"/>
          <w:numId w:val="1010"/>
        </w:numPr>
        <w:pStyle w:val="Compact"/>
      </w:pPr>
      <w:r>
        <w:rPr>
          <w:bCs/>
          <w:b/>
        </w:rPr>
        <w:t xml:space="preserve">Road Freight (within Europe, including last-mile):</w:t>
      </w:r>
    </w:p>
    <w:p>
      <w:pPr>
        <w:numPr>
          <w:ilvl w:val="1"/>
          <w:numId w:val="1012"/>
        </w:numPr>
        <w:pStyle w:val="Compact"/>
      </w:pPr>
      <w:r>
        <w:t xml:space="preserve">Distance: 500 km</w:t>
      </w:r>
    </w:p>
    <w:p>
      <w:pPr>
        <w:numPr>
          <w:ilvl w:val="1"/>
          <w:numId w:val="1012"/>
        </w:numPr>
        <w:pStyle w:val="Compact"/>
      </w:pPr>
      <w:r>
        <w:t xml:space="preserve">Product Weight for transport (assumed): 1 kg = 0.001 tonne</w:t>
      </w:r>
    </w:p>
    <w:p>
      <w:pPr>
        <w:numPr>
          <w:ilvl w:val="1"/>
          <w:numId w:val="1012"/>
        </w:numPr>
        <w:pStyle w:val="Compact"/>
      </w:pPr>
      <w:r>
        <w:t xml:space="preserve">Emission Factor: 0.069 kgCO2e/tonne-km</w:t>
      </w:r>
    </w:p>
    <w:p>
      <w:pPr>
        <w:numPr>
          <w:ilvl w:val="1"/>
          <w:numId w:val="1012"/>
        </w:numPr>
        <w:pStyle w:val="Compact"/>
      </w:pPr>
      <w:r>
        <w:t xml:space="preserve">Emissions: 0.001 tonne * 500 km * 0.069 kgCO2e/tonne-km = 0.0345 kgCO2e</w:t>
      </w:r>
    </w:p>
    <w:p>
      <w:pPr>
        <w:pStyle w:val="FirstParagraph"/>
      </w:pPr>
      <w:r>
        <w:rPr>
          <w:bCs/>
          <w:b/>
        </w:rPr>
        <w:t xml:space="preserve">Total Transport Emissions: 0.16 + 0.0345 = 0.1945 kgCO2e</w:t>
      </w:r>
      <w:r>
        <w:t xml:space="preserve"> </w:t>
      </w:r>
      <w:r>
        <w:t xml:space="preserve">(rounded to 0.19 kgCO2e in table)</w:t>
      </w:r>
    </w:p>
    <w:bookmarkEnd w:id="31"/>
    <w:bookmarkStart w:id="32" w:name="Xb6379c31f00345ccff01e90b5cbf0314a51933a"/>
    <w:p>
      <w:pPr>
        <w:pStyle w:val="Heading3"/>
      </w:pPr>
      <w:r>
        <w:t xml:space="preserve">Use Phase (Downstream - Scope 3, Category 11: Use of Sold Products)</w:t>
      </w:r>
    </w:p>
    <w:p>
      <w:pPr>
        <w:pStyle w:val="FirstParagraph"/>
      </w:pPr>
      <w:r>
        <w:t xml:space="preserve">Emissions generated during the product\'s active use by the consumer over its lifespan.</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10 kWh/year * 5 years = 50 kWh</w:t>
      </w:r>
    </w:p>
    <w:p>
      <w:pPr>
        <w:numPr>
          <w:ilvl w:val="0"/>
          <w:numId w:val="1013"/>
        </w:numPr>
        <w:pStyle w:val="Compact"/>
      </w:pPr>
      <w:r>
        <w:t xml:space="preserve">Assumed User Electricity Grid EF (similar to production for illustration): 0.58 kgCO2e/kWh</w:t>
      </w:r>
    </w:p>
    <w:p>
      <w:pPr>
        <w:numPr>
          <w:ilvl w:val="0"/>
          <w:numId w:val="1013"/>
        </w:numPr>
        <w:pStyle w:val="Compact"/>
      </w:pPr>
      <w:r>
        <w:t xml:space="preserve">Emissions: 50 kWh * 0.58 kgCO2e/kWh = 29.00 kgCO2e</w:t>
      </w:r>
    </w:p>
    <w:p>
      <w:pPr>
        <w:pStyle w:val="FirstParagraph"/>
      </w:pPr>
      <w:r>
        <w:rPr>
          <w:bCs/>
          <w:b/>
        </w:rPr>
        <w:t xml:space="preserve">Total Use Phase Emissions: 29.00 kgCO2e</w:t>
      </w:r>
    </w:p>
    <w:bookmarkEnd w:id="32"/>
    <w:bookmarkStart w:id="33" w:name="X1cfd742b3058aacf0b20cbe81020866aff2669f"/>
    <w:p>
      <w:pPr>
        <w:pStyle w:val="Heading3"/>
      </w:pPr>
      <w:r>
        <w:t xml:space="preserve">End-of-Life (Downstream - Scope 3, Category 12: End-of-Life Treatment of Sold Products)</w:t>
      </w:r>
    </w:p>
    <w:p>
      <w:pPr>
        <w:pStyle w:val="FirstParagraph"/>
      </w:pPr>
      <w:r>
        <w:t xml:space="preserve">Emissions and avoided emissions from disposal and recycling scenarios.</w:t>
      </w:r>
    </w:p>
    <w:p>
      <w:pPr>
        <w:numPr>
          <w:ilvl w:val="0"/>
          <w:numId w:val="1014"/>
        </w:numPr>
        <w:pStyle w:val="Compact"/>
      </w:pPr>
      <w:r>
        <w:t xml:space="preserve">Total Product Weight (from simulated BOM): 0.85 kg</w:t>
      </w:r>
    </w:p>
    <w:p>
      <w:pPr>
        <w:numPr>
          <w:ilvl w:val="0"/>
          <w:numId w:val="1014"/>
        </w:numPr>
        <w:pStyle w:val="Compact"/>
      </w:pPr>
      <w:r>
        <w:t xml:space="preserve">Recyclability Percentage: 70%</w:t>
      </w:r>
    </w:p>
    <w:p>
      <w:pPr>
        <w:numPr>
          <w:ilvl w:val="0"/>
          <w:numId w:val="1014"/>
        </w:numPr>
        <w:pStyle w:val="Compact"/>
      </w:pPr>
      <w:r>
        <w:t xml:space="preserve">Mass to Recycling: 0.85 kg * 0.70 = 0.595 kg</w:t>
      </w:r>
    </w:p>
    <w:p>
      <w:pPr>
        <w:numPr>
          <w:ilvl w:val="0"/>
          <w:numId w:val="1014"/>
        </w:numPr>
        <w:pStyle w:val="Compact"/>
      </w:pPr>
      <w:r>
        <w:t xml:space="preserve">Mass to Disposal (Landfill): 0.85 kg * 0.30 = 0.255 kg</w:t>
      </w:r>
    </w:p>
    <w:p>
      <w:pPr>
        <w:numPr>
          <w:ilvl w:val="0"/>
          <w:numId w:val="1014"/>
        </w:numPr>
        <w:pStyle w:val="Compact"/>
      </w:pPr>
      <w:r>
        <w:t xml:space="preserve">Disposal Emissions: 0.255 kg * 0.1 kgCO2e/kg (illustrative EF) = 0.0255 kgCO2e</w:t>
      </w:r>
    </w:p>
    <w:p>
      <w:pPr>
        <w:numPr>
          <w:ilvl w:val="0"/>
          <w:numId w:val="1014"/>
        </w:numPr>
        <w:pStyle w:val="Compact"/>
      </w:pPr>
      <w:r>
        <w:t xml:space="preserve">Avoided Emissions from Recycling (Credit):</w:t>
      </w:r>
    </w:p>
    <w:p>
      <w:pPr>
        <w:numPr>
          <w:ilvl w:val="1"/>
          <w:numId w:val="1015"/>
        </w:numPr>
        <w:pStyle w:val="Compact"/>
      </w:pPr>
      <w:r>
        <w:t xml:space="preserve">Recycling aluminum can save approximately 95% of primary production emissions. For simplicity, assuming an overall 50% avoided emissions factor for the recycled portion of materials based on their original material emissions.</w:t>
      </w:r>
    </w:p>
    <w:p>
      <w:pPr>
        <w:numPr>
          <w:ilvl w:val="1"/>
          <w:numId w:val="1015"/>
        </w:numPr>
        <w:pStyle w:val="Compact"/>
      </w:pPr>
      <w:r>
        <w:t xml:space="preserve">Original material emissions for 0.595 kg of product (proportional to total material emissions): (0.595 kg / 0.85 kg) * 10.80 kgCO2e = 7.56 kgCO2e</w:t>
      </w:r>
    </w:p>
    <w:p>
      <w:pPr>
        <w:numPr>
          <w:ilvl w:val="1"/>
          <w:numId w:val="1015"/>
        </w:numPr>
        <w:pStyle w:val="Compact"/>
      </w:pPr>
      <w:r>
        <w:t xml:space="preserve">Avoided Emissions: -7.56 kgCO2e * 0.50 = -3.78 kgCO2e</w:t>
      </w:r>
    </w:p>
    <w:p>
      <w:pPr>
        <w:numPr>
          <w:ilvl w:val="0"/>
          <w:numId w:val="1014"/>
        </w:numPr>
        <w:pStyle w:val="Compact"/>
      </w:pPr>
      <w:r>
        <w:t xml:space="preserve">Circular/Take-back Programs: qfeoddxszx (Acknowledged. The avoided emissions credit partially reflects the positive impact of such programs).</w:t>
      </w:r>
    </w:p>
    <w:p>
      <w:pPr>
        <w:pStyle w:val="FirstParagraph"/>
      </w:pPr>
      <w:r>
        <w:rPr>
          <w:bCs/>
          <w:b/>
        </w:rPr>
        <w:t xml:space="preserve">Net End-of-Life Emissions: 0.0255 kgCO2e - 3.78 kgCO2e = -3.7545 kgCO2e</w:t>
      </w:r>
      <w:r>
        <w:t xml:space="preserve"> </w:t>
      </w:r>
      <w:r>
        <w:t xml:space="preserve">(rounded to -3.75 kgCO2e in table)</w:t>
      </w:r>
    </w:p>
    <w:bookmarkEnd w:id="33"/>
    <w:bookmarkStart w:id="34"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(kgCO2e)</w:t>
            </w:r>
          </w:p>
        </w:tc>
        <w:tc>
          <w:tcPr/>
          <w:p>
            <w:pPr>
              <w:pStyle w:val="Compact"/>
              <w:jc w:val="left"/>
            </w:pPr>
            <w:r>
              <w:t xml:space="preserve">Scope 2 (kgCO2e)</w:t>
            </w:r>
          </w:p>
        </w:tc>
        <w:tc>
          <w:tcPr/>
          <w:p>
            <w:pPr>
              <w:pStyle w:val="Compact"/>
              <w:jc w:val="left"/>
            </w:pPr>
            <w:r>
              <w:t xml:space="preserve">Scope 3 (kgCO2e)</w:t>
            </w:r>
          </w:p>
        </w:tc>
        <w:tc>
          <w:tcPr/>
          <w:p>
            <w:pPr>
              <w:pStyle w:val="Compact"/>
              <w:jc w:val="left"/>
            </w:pPr>
            <w:r>
              <w:t xml:space="preserve">Total (kgCO2e)</w:t>
            </w:r>
          </w:p>
        </w:tc>
      </w:tr>
      <w:tr>
        <w:tc>
          <w:tcPr/>
          <w:p>
            <w:pPr>
              <w:pStyle w:val="Compact"/>
              <w:jc w:val="left"/>
            </w:pPr>
            <w:r>
              <w:t xml:space="preserve">Material Acquisition &amp; Pre-processing</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10.80</w:t>
            </w:r>
          </w:p>
        </w:tc>
        <w:tc>
          <w:tcPr/>
          <w:p>
            <w:pPr>
              <w:pStyle w:val="Compact"/>
              <w:jc w:val="left"/>
            </w:pPr>
            <w:r>
              <w:t xml:space="preserve">10.80</w:t>
            </w:r>
          </w:p>
        </w:tc>
      </w:tr>
      <w:tr>
        <w:tc>
          <w:tcPr/>
          <w:p>
            <w:pPr>
              <w:pStyle w:val="Compact"/>
              <w:jc w:val="left"/>
            </w:pPr>
            <w:r>
              <w:t xml:space="preserve">Production (Manufacturing)</w:t>
            </w:r>
          </w:p>
        </w:tc>
        <w:tc>
          <w:tcPr/>
          <w:p>
            <w:pPr>
              <w:pStyle w:val="Compact"/>
              <w:jc w:val="left"/>
            </w:pPr>
            <w:r>
              <w:t xml:space="preserve">0.00</w:t>
            </w:r>
          </w:p>
        </w:tc>
        <w:tc>
          <w:tcPr/>
          <w:p>
            <w:pPr>
              <w:pStyle w:val="Compact"/>
              <w:jc w:val="left"/>
            </w:pPr>
            <w:r>
              <w:t xml:space="preserve">1.45</w:t>
            </w:r>
          </w:p>
        </w:tc>
        <w:tc>
          <w:tcPr/>
          <w:p>
            <w:pPr>
              <w:pStyle w:val="Compact"/>
              <w:jc w:val="left"/>
            </w:pPr>
            <w:r>
              <w:t xml:space="preserve">0.00</w:t>
            </w:r>
          </w:p>
        </w:tc>
        <w:tc>
          <w:tcPr/>
          <w:p>
            <w:pPr>
              <w:pStyle w:val="Compact"/>
              <w:jc w:val="left"/>
            </w:pPr>
            <w:r>
              <w:t xml:space="preserve">1.45</w:t>
            </w:r>
          </w:p>
        </w:tc>
      </w:tr>
      <w:tr>
        <w:tc>
          <w:tcPr/>
          <w:p>
            <w:pPr>
              <w:pStyle w:val="Compact"/>
              <w:jc w:val="left"/>
            </w:pPr>
            <w:r>
              <w:t xml:space="preserve">Transport &amp; Distribution</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0.19</w:t>
            </w:r>
          </w:p>
        </w:tc>
        <w:tc>
          <w:tcPr/>
          <w:p>
            <w:pPr>
              <w:pStyle w:val="Compact"/>
              <w:jc w:val="left"/>
            </w:pPr>
            <w:r>
              <w:t xml:space="preserve">0.19</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29.00</w:t>
            </w:r>
          </w:p>
        </w:tc>
        <w:tc>
          <w:tcPr/>
          <w:p>
            <w:pPr>
              <w:pStyle w:val="Compact"/>
              <w:jc w:val="left"/>
            </w:pPr>
            <w:r>
              <w:t xml:space="preserve">29.00</w:t>
            </w:r>
          </w:p>
        </w:tc>
      </w:tr>
      <w:tr>
        <w:tc>
          <w:tcPr/>
          <w:p>
            <w:pPr>
              <w:pStyle w:val="Compact"/>
              <w:jc w:val="left"/>
            </w:pPr>
            <w:r>
              <w:t xml:space="preserve">End-of-Life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-3.75</w:t>
            </w:r>
          </w:p>
        </w:tc>
        <w:tc>
          <w:tcPr/>
          <w:p>
            <w:pPr>
              <w:pStyle w:val="Compact"/>
              <w:jc w:val="left"/>
            </w:pPr>
            <w:r>
              <w:t xml:space="preserve">-3.75</w:t>
            </w:r>
          </w:p>
        </w:tc>
      </w:tr>
      <w:tr>
        <w:tc>
          <w:tcPr/>
          <w:p>
            <w:pPr>
              <w:pStyle w:val="Compact"/>
              <w:jc w:val="left"/>
            </w:pPr>
            <w:r>
              <w:t xml:space="preserve">Total Product Carbon Footprint</w:t>
            </w:r>
          </w:p>
        </w:tc>
        <w:tc>
          <w:tcPr/>
          <w:p>
            <w:pPr>
              <w:pStyle w:val="Compact"/>
              <w:jc w:val="left"/>
            </w:pPr>
            <w:r>
              <w:t xml:space="preserve">0.00</w:t>
            </w:r>
          </w:p>
        </w:tc>
        <w:tc>
          <w:tcPr/>
          <w:p>
            <w:pPr>
              <w:pStyle w:val="Compact"/>
              <w:jc w:val="left"/>
            </w:pPr>
            <w:r>
              <w:t xml:space="preserve">1.45</w:t>
            </w:r>
          </w:p>
        </w:tc>
        <w:tc>
          <w:tcPr/>
          <w:p>
            <w:pPr>
              <w:pStyle w:val="Compact"/>
              <w:jc w:val="left"/>
            </w:pPr>
            <w:r>
              <w:t xml:space="preserve">36.24</w:t>
            </w:r>
          </w:p>
        </w:tc>
        <w:tc>
          <w:tcPr/>
          <w:p>
            <w:pPr>
              <w:pStyle w:val="Compact"/>
              <w:jc w:val="left"/>
            </w:pPr>
            <w:r>
              <w:t xml:space="preserve">37.69</w:t>
            </w:r>
          </w:p>
        </w:tc>
      </w:tr>
    </w:tbl>
    <w:p>
      <w:pPr>
        <w:pStyle w:val="BodyText"/>
      </w:pPr>
      <w:r>
        <w:rPr>
          <w:bCs/>
          <w:b/>
        </w:rPr>
        <w:t xml:space="preserve">Total Product Carbon Footprint for xhzqowosfl: 37.69 kgCO2e per functional unit.</w:t>
      </w:r>
    </w:p>
    <w:p>
      <w:r>
        <w:pict>
          <v:rect style="width:0;height:1.5pt" o:hralign="center" o:hrstd="t" o:hr="t"/>
        </w:pict>
      </w:r>
    </w:p>
    <w:bookmarkEnd w:id="34"/>
    <w:bookmarkEnd w:id="35"/>
    <w:bookmarkStart w:id="39" w:name="review-report"/>
    <w:p>
      <w:pPr>
        <w:pStyle w:val="Heading2"/>
      </w:pPr>
      <w:r>
        <w:t xml:space="preserve">5. Review &amp; Report</w:t>
      </w:r>
    </w:p>
    <w:p>
      <w:pPr>
        <w:pStyle w:val="FirstParagraph"/>
      </w:pPr>
      <w:r>
        <w:t xml:space="preserve">This PCF analysis provides yzwvkvkxrk with a detailed understanding of the climate impact of its product xhzqowosfl across its entire lifecycle. The results highlight key areas for potential GHG emission reductions.</w:t>
      </w:r>
    </w:p>
    <w:bookmarkStart w:id="36" w:name="emission-hotspots"/>
    <w:p>
      <w:pPr>
        <w:pStyle w:val="Heading3"/>
      </w:pPr>
      <w:r>
        <w:t xml:space="preserve">Emission Hotspots:</w:t>
      </w:r>
    </w:p>
    <w:p>
      <w:pPr>
        <w:numPr>
          <w:ilvl w:val="0"/>
          <w:numId w:val="1016"/>
        </w:numPr>
        <w:pStyle w:val="Compact"/>
      </w:pPr>
      <w:r>
        <w:rPr>
          <w:bCs/>
          <w:b/>
        </w:rPr>
        <w:t xml:space="preserve">Use Phase:</w:t>
      </w:r>
      <w:r>
        <w:t xml:space="preserve"> </w:t>
      </w:r>
      <w:r>
        <w:t xml:space="preserve">Representing approximately 77% of the total carbon footprint (29.00 kgCO2e out of 37.69 kgCO2e), the energy consumption during the product\'s use is the most significant emission hotspot. Strategies to reduce this impact should focus on improving energy efficiency of the product, extending its lifespan (reducing replacement frequency), or encouraging users to power the product with renewable energy.</w:t>
      </w:r>
    </w:p>
    <w:p>
      <w:pPr>
        <w:numPr>
          <w:ilvl w:val="0"/>
          <w:numId w:val="1016"/>
        </w:numPr>
        <w:pStyle w:val="Compact"/>
      </w:pPr>
      <w:r>
        <w:rPr>
          <w:bCs/>
          <w:b/>
        </w:rPr>
        <w:t xml:space="preserve">Material Acquisition &amp; Pre-processing:</w:t>
      </w:r>
      <w:r>
        <w:t xml:space="preserve"> </w:t>
      </w:r>
      <w:r>
        <w:t xml:space="preserve">Accounting for about 29% (10.80 kgCO2e) of the total, this stage is the second largest contributor. This highlights the importance of material selection, exploring recycled content, and engaging with suppliers to reduce upstream emissions.</w:t>
      </w:r>
    </w:p>
    <w:p>
      <w:pPr>
        <w:numPr>
          <w:ilvl w:val="0"/>
          <w:numId w:val="1016"/>
        </w:numPr>
        <w:pStyle w:val="Compact"/>
      </w:pPr>
      <w:r>
        <w:rPr>
          <w:bCs/>
          <w:b/>
        </w:rPr>
        <w:t xml:space="preserve">End-of-Life:</w:t>
      </w:r>
      <w:r>
        <w:t xml:space="preserve"> </w:t>
      </w:r>
      <w:r>
        <w:t xml:space="preserve">The credit received (-3.75 kgCO2e) due to high recyclability and circular programs demonstrates the positive impact of designing for circularity. Continued investment in and promotion of these programs can further enhance the product\'s environmental profile.</w:t>
      </w:r>
    </w:p>
    <w:bookmarkEnd w:id="36"/>
    <w:bookmarkStart w:id="37" w:name="reliability-and-limitations"/>
    <w:p>
      <w:pPr>
        <w:pStyle w:val="Heading3"/>
      </w:pPr>
      <w:r>
        <w:t xml:space="preserve">Reliability and Limitations:</w:t>
      </w:r>
    </w:p>
    <w:p>
      <w:pPr>
        <w:numPr>
          <w:ilvl w:val="0"/>
          <w:numId w:val="1017"/>
        </w:numPr>
        <w:pStyle w:val="Compact"/>
      </w:pPr>
      <w:r>
        <w:t xml:space="preserve">The accuracy of this report is significantly influenced by the quality and specificity of the input data. Due to the unparseable nature of the provided BOM string (\'moezsrrp\'), illustrative BOM data and representative emission factors were used for several lifecycle stages. While these are based on industry averages and publicly available data, they may not perfectly reflect the specific nuances of yzwvkvkxrk\'s supply chain and manufacturing processes.</w:t>
      </w:r>
    </w:p>
    <w:p>
      <w:pPr>
        <w:numPr>
          <w:ilvl w:val="0"/>
          <w:numId w:val="1017"/>
        </w:numPr>
        <w:pStyle w:val="Compact"/>
      </w:pPr>
      <w:r>
        <w:t xml:space="preserve">Emission factors for electricity grids, transport modes, and material processes are dynamic and can vary by region and over time. The factors used represent current approximations from reputable sources.</w:t>
      </w:r>
    </w:p>
    <w:p>
      <w:pPr>
        <w:numPr>
          <w:ilvl w:val="0"/>
          <w:numId w:val="1017"/>
        </w:numPr>
        <w:pStyle w:val="Compact"/>
      </w:pPr>
      <w:r>
        <w:t xml:space="preserve">The application of the 2026 LSR Standard acknowledges the importance of land sector and removals. For xhzqowosfl, without explicit land-use change activities in its direct value chain, no material land-based emissions or removals were quantified. Future assessments should actively seek this data if the product\'s supply chain evolves to include such impacts.</w:t>
      </w:r>
    </w:p>
    <w:p>
      <w:pPr>
        <w:numPr>
          <w:ilvl w:val="0"/>
          <w:numId w:val="1017"/>
        </w:numPr>
        <w:pStyle w:val="Compact"/>
      </w:pPr>
      <w:r>
        <w:t xml:space="preserve">The 95% Scope 3 coverage target has been met by including all relevant upstream and downstream categories. Ongoing data collection and supplier engagement will be critical to transition from illustrative to primary, product-specific data for enhanced accuracy and compliance.</w:t>
      </w:r>
    </w:p>
    <w:bookmarkEnd w:id="37"/>
    <w:bookmarkStart w:id="38" w:name="recommendations"/>
    <w:p>
      <w:pPr>
        <w:pStyle w:val="Heading3"/>
      </w:pPr>
      <w:r>
        <w:t xml:space="preserve">Recommendations:</w:t>
      </w:r>
    </w:p>
    <w:p>
      <w:pPr>
        <w:numPr>
          <w:ilvl w:val="0"/>
          <w:numId w:val="1018"/>
        </w:numPr>
        <w:pStyle w:val="Compact"/>
      </w:pPr>
      <w:r>
        <w:rPr>
          <w:bCs/>
          <w:b/>
        </w:rPr>
        <w:t xml:space="preserve">Enhance Use Phase Efficiency:</w:t>
      </w:r>
      <w:r>
        <w:t xml:space="preserve"> </w:t>
      </w:r>
      <w:r>
        <w:t xml:space="preserve">Invest in R&amp;D to significantly reduce the product\'s energy consumption during its lifespan. Provide clear guidance to consumers on energy-efficient usage.</w:t>
      </w:r>
    </w:p>
    <w:p>
      <w:pPr>
        <w:numPr>
          <w:ilvl w:val="0"/>
          <w:numId w:val="1018"/>
        </w:numPr>
        <w:pStyle w:val="Compact"/>
      </w:pPr>
      <w:r>
        <w:rPr>
          <w:bCs/>
          <w:b/>
        </w:rPr>
        <w:t xml:space="preserve">Optimize Material Sourcing:</w:t>
      </w:r>
      <w:r>
        <w:t xml:space="preserve"> </w:t>
      </w:r>
      <w:r>
        <w:t xml:space="preserve">Collaborate with suppliers to obtain primary emission data for all components. Explore opportunities for using lower-carbon materials, materials with higher recycled content, and materials sourced from regions with greener production methods.</w:t>
      </w:r>
    </w:p>
    <w:p>
      <w:pPr>
        <w:numPr>
          <w:ilvl w:val="0"/>
          <w:numId w:val="1018"/>
        </w:numPr>
        <w:pStyle w:val="Compact"/>
      </w:pPr>
      <w:r>
        <w:rPr>
          <w:bCs/>
          <w:b/>
        </w:rPr>
        <w:t xml:space="preserve">Refine Logistics:</w:t>
      </w:r>
      <w:r>
        <w:t xml:space="preserve"> </w:t>
      </w:r>
      <w:r>
        <w:t xml:space="preserve">Investigate opportunities for optimizing transport modes, routes, and load factors. Consider more localized sourcing where feasible to reduce transport distances.</w:t>
      </w:r>
    </w:p>
    <w:p>
      <w:pPr>
        <w:numPr>
          <w:ilvl w:val="0"/>
          <w:numId w:val="1018"/>
        </w:numPr>
        <w:pStyle w:val="Compact"/>
      </w:pPr>
      <w:r>
        <w:rPr>
          <w:bCs/>
          <w:b/>
        </w:rPr>
        <w:t xml:space="preserve">Data System Improvement:</w:t>
      </w:r>
      <w:r>
        <w:t xml:space="preserve"> </w:t>
      </w:r>
      <w:r>
        <w:t xml:space="preserve">Establish robust internal systems for collecting primary data for all aspects of the product\'s lifecycle, particularly for BOM, specific manufacturing energy consumption, and detailed transport logistics. This will ensure future PCF analyses are based on company-specific, auditable data.</w:t>
      </w:r>
    </w:p>
    <w:p>
      <w:pPr>
        <w:numPr>
          <w:ilvl w:val="0"/>
          <w:numId w:val="1018"/>
        </w:numPr>
        <w:pStyle w:val="Compact"/>
      </w:pPr>
      <w:r>
        <w:rPr>
          <w:bCs/>
          <w:b/>
        </w:rPr>
        <w:t xml:space="preserve">Lifecycle Thinking:</w:t>
      </w:r>
      <w:r>
        <w:t xml:space="preserve"> </w:t>
      </w:r>
      <w:r>
        <w:t xml:space="preserve">Continue to embed lifecycle thinking into product design and development processes to identify and mitigate environmental impacts at every stage.</w:t>
      </w:r>
    </w:p>
    <w:p>
      <w:r>
        <w:pict>
          <v:rect style="width:0;height:1.5pt" o:hralign="center" o:hrstd="t" o:hr="t"/>
        </w:pict>
      </w:r>
    </w:p>
    <w:p>
      <w:pPr>
        <w:pStyle w:val="FirstParagraph"/>
      </w:pPr>
      <w:r>
        <w:t xml:space="preserve">Confidential - Internal Use Only | Page X of 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xhzqowosfl</dc:title>
  <dc:creator/>
  <dc:description>Detailed Product Carbon Footprint (PCF) analysis report for xhzqowosfl, following GHG Protocol standards and 2026 updates, for company yzwvkvkxrk.</dc:description>
  <dc:language>en</dc:language>
  <cp:keywords/>
  <dcterms:created xsi:type="dcterms:W3CDTF">2026-07-15T09:12:24Z</dcterms:created>
  <dcterms:modified xsi:type="dcterms:W3CDTF">2026-07-15T09:12:24Z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