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xhmwqyvrfl</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xhmwqyvrfl"/>
    <w:p>
      <w:pPr>
        <w:pStyle w:val="Heading2"/>
      </w:pPr>
      <w:r>
        <w:t xml:space="preserve">For: xhmwqyvrfl</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hprltwnfyk</w:t>
      </w:r>
    </w:p>
    <w:p>
      <w:pPr>
        <w:pStyle w:val="BodyText"/>
      </w:pPr>
      <w:r>
        <w:rPr>
          <w:bCs/>
          <w:b/>
        </w:rPr>
        <w:t xml:space="preserve">Senior Sustainability Consultant:</w:t>
      </w:r>
      <w:r>
        <w:t xml:space="preserve"> </w:t>
      </w:r>
      <w:r>
        <w:t xml:space="preserve">kwknpwryep</w:t>
      </w:r>
    </w:p>
    <w:p>
      <w:pPr>
        <w:pStyle w:val="BodyText"/>
      </w:pPr>
      <w:r>
        <w:t xml:space="preserve">Disclaimer: This report is generated based on available data and industry standards, providing an estimate of the product\'s carbon footprint. Actual emissions may vary based on real-time operational data and specific supply chain details.</w:t>
      </w:r>
    </w:p>
    <w:bookmarkEnd w:id="20"/>
    <w:bookmarkEnd w:id="21"/>
    <w:p>
      <w:r>
        <w:pict>
          <v:rect style="width:0;height:1.5pt" o:hralign="center" o:hrstd="t" o:hr="t"/>
        </w:pict>
      </w:r>
    </w:p>
    <w:bookmarkStart w:id="51" w:name="Xcfc2728453393b6baaf77330e274bcbee9f9bd4"/>
    <w:p>
      <w:pPr>
        <w:pStyle w:val="Heading1"/>
      </w:pPr>
      <w:r>
        <w:t xml:space="preserve">Product Carbon Footprint Analysis for xhmwqyvrfl</w:t>
      </w:r>
    </w:p>
    <w:p>
      <w:pPr>
        <w:pStyle w:val="FirstParagraph"/>
      </w:pPr>
      <w:r>
        <w:rPr>
          <w:bCs/>
          <w:b/>
        </w:rPr>
        <w:t xml:space="preserve">Generated Date:</w:t>
      </w:r>
      <w:r>
        <w:t xml:space="preserve"> </w:t>
      </w:r>
      <w:r>
        <w:t xml:space="preserve">Friday, 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xhmwqyvrfl</w:t>
      </w:r>
      <w:r>
        <w:t xml:space="preserve">, produced by</w:t>
      </w:r>
      <w:r>
        <w:t xml:space="preserve"> </w:t>
      </w:r>
      <w:r>
        <w:rPr>
          <w:bCs/>
          <w:b/>
        </w:rPr>
        <w:t xml:space="preserve">hprltwnfyk</w:t>
      </w:r>
      <w:r>
        <w:t xml:space="preserve">. The analysis, conducted by Senior Sustainability Consultant</w:t>
      </w:r>
      <w:r>
        <w:t xml:space="preserve"> </w:t>
      </w:r>
      <w:r>
        <w:rPr>
          <w:bCs/>
          <w:b/>
        </w:rPr>
        <w:t xml:space="preserve">kwknpwryep</w:t>
      </w:r>
      <w:r>
        <w:t xml:space="preserve">, adheres strictly to the GHG Protocol, including the 2026 Land Sector and Removals (LSR) Standard updates and the 95% Scope 3 coverage requirement. The study evaluates greenhouse gas (GHG) emissions across the product\'s lifecycle, from raw material acquisition to end-of-life treatment, providing a comprehensive understanding of its environmental impact. Key emission hotspots are identified, and recommendations for reduction are provided to support hprltwnfyk\'s sustainability initiatives.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analysis is</w:t>
      </w:r>
      <w:r>
        <w:t xml:space="preserve"> </w:t>
      </w:r>
      <w:r>
        <w:rPr>
          <w:bCs/>
          <w:b/>
        </w:rPr>
        <w:t xml:space="preserve">1.0 unit of xhmwqyvrfl</w:t>
      </w:r>
      <w:r>
        <w:t xml:space="preserve">. All emissions are quantified relative to this unit, allowing for consistent measurement and comparison.</w:t>
      </w:r>
    </w:p>
    <w:bookmarkEnd w:id="23"/>
    <w:bookmarkStart w:id="24" w:name="system-boundary"/>
    <w:p>
      <w:pPr>
        <w:pStyle w:val="Heading3"/>
      </w:pPr>
      <w:r>
        <w:t xml:space="preserve">System Boundary</w:t>
      </w:r>
    </w:p>
    <w:p>
      <w:pPr>
        <w:pStyle w:val="FirstParagraph"/>
      </w:pPr>
      <w:r>
        <w:t xml:space="preserve">The system boundary for this PCF analysis is "cradle-to-gate with downstream Scope 3 for use and end-of-life". This includes emissions from:</w:t>
      </w:r>
    </w:p>
    <w:p>
      <w:pPr>
        <w:numPr>
          <w:ilvl w:val="0"/>
          <w:numId w:val="1001"/>
        </w:numPr>
        <w:pStyle w:val="Compact"/>
      </w:pPr>
      <w:r>
        <w:t xml:space="preserve">Raw material extraction and processing (upstream).</w:t>
      </w:r>
    </w:p>
    <w:p>
      <w:pPr>
        <w:numPr>
          <w:ilvl w:val="0"/>
          <w:numId w:val="1001"/>
        </w:numPr>
        <w:pStyle w:val="Compact"/>
      </w:pPr>
      <w:r>
        <w:t xml:space="preserve">Manufacturing and production at the factory gate.</w:t>
      </w:r>
    </w:p>
    <w:p>
      <w:pPr>
        <w:numPr>
          <w:ilvl w:val="0"/>
          <w:numId w:val="1001"/>
        </w:numPr>
        <w:pStyle w:val="Compact"/>
      </w:pPr>
      <w:r>
        <w:t xml:space="preserve">Transportation of materials to the factory.</w:t>
      </w:r>
    </w:p>
    <w:p>
      <w:pPr>
        <w:numPr>
          <w:ilvl w:val="0"/>
          <w:numId w:val="1001"/>
        </w:numPr>
        <w:pStyle w:val="Compact"/>
      </w:pPr>
      <w:r>
        <w:t xml:space="preserve">Transportation of the finished product to the customer.</w:t>
      </w:r>
    </w:p>
    <w:p>
      <w:pPr>
        <w:numPr>
          <w:ilvl w:val="0"/>
          <w:numId w:val="1001"/>
        </w:numPr>
        <w:pStyle w:val="Compact"/>
      </w:pPr>
      <w:r>
        <w:t xml:space="preserve">The product\'s use phase over its estimated lifespan.</w:t>
      </w:r>
    </w:p>
    <w:p>
      <w:pPr>
        <w:numPr>
          <w:ilvl w:val="0"/>
          <w:numId w:val="1001"/>
        </w:numPr>
        <w:pStyle w:val="Compact"/>
      </w:pPr>
      <w:r>
        <w:t xml:space="preserve">End-of-life treatment, including recycling and disposal.</w:t>
      </w:r>
    </w:p>
    <w:p>
      <w:pPr>
        <w:pStyle w:val="FirstParagraph"/>
      </w:pPr>
      <w:r>
        <w:t xml:space="preserve">This comprehensive approach ensures that all significant GHG emissions associated with the product throughout its life cycle are captured and reported.</w:t>
      </w:r>
    </w:p>
    <w:bookmarkEnd w:id="24"/>
    <w:bookmarkStart w:id="25" w:name="geographic-scope"/>
    <w:p>
      <w:pPr>
        <w:pStyle w:val="Heading3"/>
      </w:pPr>
      <w:r>
        <w:t xml:space="preserve">Geographic Scope</w:t>
      </w:r>
    </w:p>
    <w:p>
      <w:pPr>
        <w:pStyle w:val="FirstParagraph"/>
      </w:pPr>
      <w:r>
        <w:t xml:space="preserve">The geographic scope focuses on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w:t>
      </w:r>
      <w:r>
        <w:t xml:space="preserve">for material sourcing and product distribution. This implies that manufacturing emissions are based on the Chinese energy grid, while upstream and downstream transport routes predominantly cover movements between China and Europe.</w:t>
      </w:r>
    </w:p>
    <w:bookmarkEnd w:id="25"/>
    <w:bookmarkStart w:id="26" w:name="accounting-standard"/>
    <w:p>
      <w:pPr>
        <w:pStyle w:val="Heading3"/>
      </w:pPr>
      <w:r>
        <w:t xml:space="preserve">Accounting Standard</w:t>
      </w:r>
    </w:p>
    <w:p>
      <w:pPr>
        <w:pStyle w:val="FirstParagraph"/>
      </w:pPr>
      <w:r>
        <w:t xml:space="preserve">This Product Carbon Footprint analysis is performed in accordance with the</w:t>
      </w:r>
      <w:r>
        <w:t xml:space="preserve"> </w:t>
      </w:r>
      <w:r>
        <w:rPr>
          <w:bCs/>
          <w:b/>
        </w:rPr>
        <w:t xml:space="preserve">GHG Protocol</w:t>
      </w:r>
      <w:r>
        <w:t xml:space="preserve">. Emissions are categorized into Scope 1 (direct emissions from owned or controlled sources), Scope 2 (indirect emissions from purchased electricity, heat, or steam), and Scope 3 (all other indirect emissions in the value chain, both upstream and downstream). The analysis specifically incorporates the GHG Protocol\'s 2026 updates, including the Land Sector and Removals (LSR) Standard and the mandatory 95% coverage for Scope 3 emissions.</w:t>
      </w:r>
    </w:p>
    <w:bookmarkEnd w:id="26"/>
    <w:bookmarkStart w:id="27" w:name="allocation"/>
    <w:p>
      <w:pPr>
        <w:pStyle w:val="Heading3"/>
      </w:pPr>
      <w:r>
        <w:t xml:space="preserve">Allocation</w:t>
      </w:r>
    </w:p>
    <w:p>
      <w:pPr>
        <w:pStyle w:val="FirstParagraph"/>
      </w:pPr>
      <w:r>
        <w:t xml:space="preserve">For this single product analysis, direct allocation of emissions to the functional unit (1.0 unit of xhmwqyvrfl) is applied across all lifecycle stages. No co-product or by-product allocation complexities are assumed given the nature of a specific product PCF. Where shared processes occur (e.g., transport of multiple products), emissions are allocated based on mass or volume, as appropriate, to the xhmwqyvrfl unit.</w:t>
      </w:r>
    </w:p>
    <w:p>
      <w:r>
        <w:pict>
          <v:rect style="width:0;height:1.5pt" o:hralign="center" o:hrstd="t" o:hr="t"/>
        </w:pict>
      </w:r>
    </w:p>
    <w:bookmarkEnd w:id="27"/>
    <w:bookmarkEnd w:id="28"/>
    <w:bookmarkStart w:id="35" w:name="map-lifecycle-3.-collect-data"/>
    <w:p>
      <w:pPr>
        <w:pStyle w:val="Heading2"/>
      </w:pPr>
      <w:r>
        <w:t xml:space="preserve">2. Map Lifecycle &amp; 3. Collect Data</w:t>
      </w:r>
    </w:p>
    <w:p>
      <w:pPr>
        <w:pStyle w:val="FirstParagraph"/>
      </w:pPr>
      <w:r>
        <w:t xml:space="preserve">The lifecycle mapping and data collection process involves identifying all relevant activities, materials, energy inputs, and transport movements associated with the product xhmwqyvrfl from raw material extraction to end-of-life. Data points are collected from primary sources (e.g., provided Bill of Materials, energy usage data) and supplemented with secondary, industry-standard emission factors where primary data is unavailable or to represent broader supply chain impacts.</w:t>
      </w:r>
    </w:p>
    <w:bookmarkStart w:id="30" w:name="X6b16960404c59685c4df3efd5e2ea0a970cd219"/>
    <w:p>
      <w:pPr>
        <w:pStyle w:val="Heading3"/>
      </w:pPr>
      <w:r>
        <w:t xml:space="preserve">Materials Acquisition &amp; Processing (Upstream - Scope 3, Category 1)</w:t>
      </w:r>
    </w:p>
    <w:p>
      <w:pPr>
        <w:pStyle w:val="FirstParagraph"/>
      </w:pPr>
      <w:r>
        <w:t xml:space="preserve">The detailed Bill of Materials (BOM) for xhmwqyvrfl, provided as `uhytjngn`, forms the basis for calculating the material-related emissions. Each component\'s quantity and associated emission factor are used for high-accuracy material impact calculation.</w:t>
      </w:r>
    </w:p>
    <w:bookmarkStart w:id="29" w:name="X355055dcc4867814f22cf8665a1ca33ff5c0f6f"/>
    <w:p>
      <w:pPr>
        <w:pStyle w:val="Heading4"/>
      </w:pPr>
      <w:r>
        <w:t xml:space="preserve">Detailed Bill of Materials (BOM) for xhmwqyvrfl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MAT003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gridSpan w:val="4"/>
          </w:tcPr>
          <w:p>
            <w:pPr>
              <w:pStyle w:val="Compact"/>
              <w:jc w:val="left"/>
            </w:pPr>
            <w:r>
              <w:t xml:space="preserve">Total Material Weight (kg)</w:t>
            </w:r>
          </w:p>
        </w:tc>
        <w:tc>
          <w:tcPr/>
          <w:p>
            <w:pPr>
              <w:pStyle w:val="Compact"/>
              <w:jc w:val="left"/>
            </w:pPr>
            <w:r>
              <w:t xml:space="preserve">0.52</w:t>
            </w:r>
          </w:p>
        </w:tc>
        <w:tc>
          <w:tcPr/>
          <w:p>
            <w:pPr>
              <w:pStyle w:val="Compact"/>
              <w:jc w:val="left"/>
            </w:pPr>
            <w:r>
              <w:t xml:space="preserve">kg</w:t>
            </w:r>
          </w:p>
        </w:tc>
        <w:tc>
          <w:tcPr/>
          <w:p>
            <w:pPr>
              <w:pStyle w:val="Compact"/>
            </w:pPr>
          </w:p>
        </w:tc>
        <w:tc>
          <w:tcPr/>
          <w:p>
            <w:pPr>
              <w:pStyle w:val="Compact"/>
              <w:jc w:val="left"/>
            </w:pPr>
            <w:r>
              <w:t xml:space="preserve">3.35</w:t>
            </w:r>
          </w:p>
        </w:tc>
      </w:tr>
    </w:tbl>
    <w:p>
      <w:pPr>
        <w:pStyle w:val="BodyText"/>
      </w:pPr>
      <w:r>
        <w:t xml:space="preserve">*Emission factors for materials are derived from internal data (`uhytjngn`) or industry averages (e.g., for plastics and metals) and standard databases (e.g., for cardboard).</w:t>
      </w:r>
    </w:p>
    <w:bookmarkEnd w:id="29"/>
    <w:bookmarkEnd w:id="30"/>
    <w:bookmarkStart w:id="31" w:name="production-direct---scope-1-2"/>
    <w:p>
      <w:pPr>
        <w:pStyle w:val="Heading3"/>
      </w:pPr>
      <w:r>
        <w:t xml:space="preserve">Production (Direct - Scope 1 &amp; 2)</w:t>
      </w:r>
    </w:p>
    <w:p>
      <w:pPr>
        <w:pStyle w:val="FirstParagraph"/>
      </w:pPr>
      <w:r>
        <w:t xml:space="preserve">The production phase emissions occur at the manufacturing facility in China.</w:t>
      </w:r>
    </w:p>
    <w:p>
      <w:pPr>
        <w:numPr>
          <w:ilvl w:val="0"/>
          <w:numId w:val="1002"/>
        </w:numPr>
        <w:pStyle w:val="Compact"/>
      </w:pPr>
      <w:r>
        <w:rPr>
          <w:bCs/>
          <w:b/>
        </w:rPr>
        <w:t xml:space="preserve">Energy Intensity (kWh/unit):</w:t>
      </w:r>
      <w:r>
        <w:t xml:space="preserve"> </w:t>
      </w:r>
      <w:r>
        <w:t xml:space="preserve">zxiuswvfmj (5 kWh/unit)</w:t>
      </w:r>
    </w:p>
    <w:p>
      <w:pPr>
        <w:numPr>
          <w:ilvl w:val="0"/>
          <w:numId w:val="1002"/>
        </w:numPr>
        <w:pStyle w:val="Compact"/>
      </w:pPr>
      <w:r>
        <w:rPr>
          <w:bCs/>
          <w:b/>
        </w:rPr>
        <w:t xml:space="preserve">Renewable Energy Usage:</w:t>
      </w:r>
      <w:r>
        <w:t xml:space="preserve"> </w:t>
      </w:r>
      <w:r>
        <w:t xml:space="preserve">hnsqldgvpp (50% of purchased electricity)</w:t>
      </w:r>
    </w:p>
    <w:p>
      <w:pPr>
        <w:pStyle w:val="FirstParagraph"/>
      </w:pPr>
      <w:r>
        <w:t xml:space="preserve">The remaining 50% of electricity is assumed to be sourced from the national grid in China. The national average electricity grid emission factor for China is estimated at 0.6205 kg CO2e/kWh (for 2023).</w:t>
      </w:r>
    </w:p>
    <w:bookmarkEnd w:id="31"/>
    <w:bookmarkStart w:id="32" w:name="X256b0ce28e2e15c25fda7136157be9bb3d3298a"/>
    <w:p>
      <w:pPr>
        <w:pStyle w:val="Heading3"/>
      </w:pPr>
      <w:r>
        <w:t xml:space="preserve">Transport &amp; Distribution (Upstream &amp; Downstream - Scope 3, Categories 4 &amp; 9)</w:t>
      </w:r>
    </w:p>
    <w:p>
      <w:pPr>
        <w:pStyle w:val="FirstParagraph"/>
      </w:pPr>
      <w:r>
        <w:t xml:space="preserve">Logistics data incorporates both inbound transport of materials and outbound transport of the finished product.</w:t>
      </w:r>
    </w:p>
    <w:p>
      <w:pPr>
        <w:numPr>
          <w:ilvl w:val="0"/>
          <w:numId w:val="1003"/>
        </w:numPr>
        <w:pStyle w:val="Compact"/>
      </w:pPr>
      <w:r>
        <w:rPr>
          <w:bCs/>
          <w:b/>
        </w:rPr>
        <w:t xml:space="preserve">Main Transport Mode:</w:t>
      </w:r>
      <w:r>
        <w:t xml:space="preserve"> </w:t>
      </w:r>
      <w:r>
        <w:t xml:space="preserve">Select Mode (Ocean Freight)</w:t>
      </w:r>
    </w:p>
    <w:p>
      <w:pPr>
        <w:numPr>
          <w:ilvl w:val="0"/>
          <w:numId w:val="1003"/>
        </w:numPr>
        <w:pStyle w:val="Compact"/>
      </w:pPr>
      <w:r>
        <w:rPr>
          <w:bCs/>
          <w:b/>
        </w:rPr>
        <w:t xml:space="preserve">Transport Distance:</w:t>
      </w:r>
      <w:r>
        <w:t xml:space="preserve"> </w:t>
      </w:r>
      <w:r>
        <w:t xml:space="preserve">eongsvxzjt (15,000 km)</w:t>
      </w:r>
    </w:p>
    <w:p>
      <w:pPr>
        <w:numPr>
          <w:ilvl w:val="0"/>
          <w:numId w:val="1003"/>
        </w:numPr>
        <w:pStyle w:val="Compact"/>
      </w:pPr>
      <w:r>
        <w:rPr>
          <w:bCs/>
          <w:b/>
        </w:rPr>
        <w:t xml:space="preserve">Last-Mile Delivery Channel:</w:t>
      </w:r>
      <w:r>
        <w:t xml:space="preserve"> </w:t>
      </w:r>
      <w:r>
        <w:t xml:space="preserve">Delivery Type (Road - Van)</w:t>
      </w:r>
    </w:p>
    <w:p>
      <w:pPr>
        <w:pStyle w:val="FirstParagraph"/>
      </w:pPr>
      <w:r>
        <w:t xml:space="preserve">The total weight of the product (including packaging) is 0.52 kg. For transport calculations, the product weight is used, assuming a representative load factor.</w:t>
      </w:r>
    </w:p>
    <w:p>
      <w:pPr>
        <w:pStyle w:val="BodyText"/>
      </w:pPr>
      <w:r>
        <w:t xml:space="preserve">*Emission factors used: Ocean Freight: 0.015 kg CO2e/tonne-km. Road (Van) Last-Mile: 0.1 kg CO2e/tonne-km.</w:t>
      </w:r>
    </w:p>
    <w:bookmarkEnd w:id="32"/>
    <w:bookmarkStart w:id="33" w:name="X0cb0de7ce1190cf9e489e26e92d205bd1453980"/>
    <w:p>
      <w:pPr>
        <w:pStyle w:val="Heading3"/>
      </w:pPr>
      <w:r>
        <w:t xml:space="preserve">Product Use Phase (Downstream - Scope 3, Category 11)</w:t>
      </w:r>
    </w:p>
    <w:p>
      <w:pPr>
        <w:pStyle w:val="FirstParagraph"/>
      </w:pPr>
      <w:r>
        <w:t xml:space="preserve">The use phase emissions are calculated based on the product\'s energy consumption over its expected lifespan.</w:t>
      </w:r>
    </w:p>
    <w:p>
      <w:pPr>
        <w:numPr>
          <w:ilvl w:val="0"/>
          <w:numId w:val="1004"/>
        </w:numPr>
        <w:pStyle w:val="Compact"/>
      </w:pPr>
      <w:r>
        <w:rPr>
          <w:bCs/>
          <w:b/>
        </w:rPr>
        <w:t xml:space="preserve">Product Lifespan:</w:t>
      </w:r>
      <w:r>
        <w:t xml:space="preserve"> </w:t>
      </w:r>
      <w:r>
        <w:t xml:space="preserve">rggqlfgxuz (5 years)</w:t>
      </w:r>
    </w:p>
    <w:p>
      <w:pPr>
        <w:numPr>
          <w:ilvl w:val="0"/>
          <w:numId w:val="1004"/>
        </w:numPr>
        <w:pStyle w:val="Compact"/>
      </w:pPr>
      <w:r>
        <w:rPr>
          <w:bCs/>
          <w:b/>
        </w:rPr>
        <w:t xml:space="preserve">Energy Consumption in Use:</w:t>
      </w:r>
      <w:r>
        <w:t xml:space="preserve"> </w:t>
      </w:r>
      <w:r>
        <w:t xml:space="preserve">npsvrfqeyu (10 kWh/year)</w:t>
      </w:r>
    </w:p>
    <w:p>
      <w:pPr>
        <w:pStyle w:val="FirstParagraph"/>
      </w:pPr>
      <w:r>
        <w:t xml:space="preserve">It is assumed that the product is used in a typical European household, with an average electricity grid mix. For simplicity, we use an average European grid emission factor of 0.25 kg CO2e/kWh for the use phase, acknowledging this can vary significantly by country.</w:t>
      </w:r>
    </w:p>
    <w:bookmarkEnd w:id="33"/>
    <w:bookmarkStart w:id="34" w:name="Xf775df65703d8f79218057ca4f08033f24869bf"/>
    <w:p>
      <w:pPr>
        <w:pStyle w:val="Heading3"/>
      </w:pPr>
      <w:r>
        <w:t xml:space="preserve">End-of-Life Treatment (Downstream - Scope 3, Category 12)</w:t>
      </w:r>
    </w:p>
    <w:p>
      <w:pPr>
        <w:pStyle w:val="FirstParagraph"/>
      </w:pPr>
      <w:r>
        <w:t xml:space="preserve">End-of-life (EoL) scenarios reflect the circular economy impacts, considering recyclability and take-back programs.</w:t>
      </w:r>
    </w:p>
    <w:p>
      <w:pPr>
        <w:numPr>
          <w:ilvl w:val="0"/>
          <w:numId w:val="1005"/>
        </w:numPr>
        <w:pStyle w:val="Compact"/>
      </w:pPr>
      <w:r>
        <w:rPr>
          <w:bCs/>
          <w:b/>
        </w:rPr>
        <w:t xml:space="preserve">Recyclability Percentage:</w:t>
      </w:r>
      <w:r>
        <w:t xml:space="preserve"> </w:t>
      </w:r>
      <w:r>
        <w:t xml:space="preserve">oelvtmfgil (70%)</w:t>
      </w:r>
    </w:p>
    <w:p>
      <w:pPr>
        <w:numPr>
          <w:ilvl w:val="0"/>
          <w:numId w:val="1005"/>
        </w:numPr>
        <w:pStyle w:val="Compact"/>
      </w:pPr>
      <w:r>
        <w:rPr>
          <w:bCs/>
          <w:b/>
        </w:rPr>
        <w:t xml:space="preserve">Circular/Take-back Programs:</w:t>
      </w:r>
      <w:r>
        <w:t xml:space="preserve"> </w:t>
      </w:r>
      <w:r>
        <w:t xml:space="preserve">rkkysddrok (Yes, Product take-back program in place for key components.)</w:t>
      </w:r>
    </w:p>
    <w:p>
      <w:pPr>
        <w:pStyle w:val="FirstParagraph"/>
      </w:pPr>
      <w:r>
        <w:t xml:space="preserve">It is assumed that 70% of the total product mass (0.52 kg) is recycled, with the remaining 30% disposed of (e.g., landfill or incineration). The take-back program is assumed to facilitate the high recycling rate.</w:t>
      </w:r>
    </w:p>
    <w:p>
      <w:pPr>
        <w:pStyle w:val="BodyText"/>
      </w:pPr>
      <w:r>
        <w:t xml:space="preserve">*Emission factors for EoL: Recycling (plastic, aluminum): accounted for as avoided emissions from virgin production (e.g., -1.0 kg CO2e/kg for plastic, -8.0 kg CO2e/kg for aluminum). Recycling (cardboard): 0.1 kg CO2e/kg. Landfill/Incineration (for non-recycled waste): 0.4 kg CO2e/kg (average for mixed waste).</w:t>
      </w:r>
    </w:p>
    <w:p>
      <w:r>
        <w:pict>
          <v:rect style="width:0;height:1.5pt" o:hralign="center" o:hrstd="t" o:hr="t"/>
        </w:pict>
      </w:r>
    </w:p>
    <w:bookmarkEnd w:id="34"/>
    <w:bookmarkEnd w:id="35"/>
    <w:bookmarkStart w:id="46" w:name="calculate-emissions"/>
    <w:p>
      <w:pPr>
        <w:pStyle w:val="Heading2"/>
      </w:pPr>
      <w:r>
        <w:t xml:space="preserve">4. Calculate Emissions</w:t>
      </w:r>
    </w:p>
    <w:p>
      <w:pPr>
        <w:pStyle w:val="FirstParagraph"/>
      </w:pPr>
      <w:r>
        <w:t xml:space="preserve">Emissions are calculated using the formula: Activity Data × Emission Factor = CO2e. All calculations are converted to CO2 equivalents (CO2e) to account for the global warming potential of various greenhouse gases.</w:t>
      </w:r>
    </w:p>
    <w:bookmarkStart w:id="41" w:name="detailed-emissions-by-lifecycle-stage"/>
    <w:p>
      <w:pPr>
        <w:pStyle w:val="Heading3"/>
      </w:pPr>
      <w:r>
        <w:t xml:space="preserve">Detailed Emissions by Lifecycle Stage</w:t>
      </w:r>
    </w:p>
    <w:bookmarkStart w:id="36" w:name="X2d56dbbe133c19564a2d0415032f8cd83c25933"/>
    <w:p>
      <w:pPr>
        <w:pStyle w:val="Heading4"/>
      </w:pPr>
      <w:r>
        <w:t xml:space="preserve">1. Materials Acquisition &amp; Processing (Scope 3 - Category 1: Purchased Goods and Services)</w:t>
      </w:r>
    </w:p>
    <w:p>
      <w:pPr>
        <w:pStyle w:val="FirstParagraph"/>
      </w:pPr>
      <w:r>
        <w:t xml:space="preserve">Based on the BOM, total material emissions are 3.35 kg CO2e.</w:t>
      </w:r>
    </w:p>
    <w:bookmarkEnd w:id="36"/>
    <w:bookmarkStart w:id="37" w:name="production-factory-gate"/>
    <w:p>
      <w:pPr>
        <w:pStyle w:val="Heading4"/>
      </w:pPr>
      <w:r>
        <w:t xml:space="preserve">2. Production (Factory Gate)</w:t>
      </w:r>
    </w:p>
    <w:p>
      <w:pPr>
        <w:numPr>
          <w:ilvl w:val="0"/>
          <w:numId w:val="1006"/>
        </w:numPr>
        <w:pStyle w:val="Compact"/>
      </w:pPr>
      <w:r>
        <w:t xml:space="preserve">Total energy consumed: 5 kWh/unit</w:t>
      </w:r>
    </w:p>
    <w:p>
      <w:pPr>
        <w:numPr>
          <w:ilvl w:val="0"/>
          <w:numId w:val="1006"/>
        </w:numPr>
        <w:pStyle w:val="Compact"/>
      </w:pPr>
      <w:r>
        <w:t xml:space="preserve">Renewable energy: 50%</w:t>
      </w:r>
    </w:p>
    <w:p>
      <w:pPr>
        <w:numPr>
          <w:ilvl w:val="0"/>
          <w:numId w:val="1006"/>
        </w:numPr>
        <w:pStyle w:val="Compact"/>
      </w:pPr>
      <w:r>
        <w:t xml:space="preserve">Non-renewable electricity: 5 kWh * 50% = 2.5 kWh</w:t>
      </w:r>
    </w:p>
    <w:p>
      <w:pPr>
        <w:numPr>
          <w:ilvl w:val="0"/>
          <w:numId w:val="1006"/>
        </w:numPr>
        <w:pStyle w:val="Compact"/>
      </w:pPr>
      <w:r>
        <w:t xml:space="preserve">Chinese Grid Emission Factor: 0.6205 kg CO2e/kWh</w:t>
      </w:r>
    </w:p>
    <w:p>
      <w:pPr>
        <w:numPr>
          <w:ilvl w:val="0"/>
          <w:numId w:val="1006"/>
        </w:numPr>
        <w:pStyle w:val="Compact"/>
      </w:pPr>
      <w:r>
        <w:t xml:space="preserve">**Scope 2 Emissions (Purchased Electricity):** 2.5 kWh * 0.6205 kg CO2e/kWh = 1.55 kg CO2e</w:t>
      </w:r>
    </w:p>
    <w:p>
      <w:pPr>
        <w:numPr>
          <w:ilvl w:val="0"/>
          <w:numId w:val="1006"/>
        </w:numPr>
        <w:pStyle w:val="Compact"/>
      </w:pPr>
      <w:r>
        <w:t xml:space="preserve">*Scope 1 Emissions (Direct Fuel):* Assumed negligible for direct fuel combustion for this product\'s production given the energy intensity parameter focuses on kWh/unit, or integrated within broader electricity generation.</w:t>
      </w:r>
    </w:p>
    <w:p>
      <w:pPr>
        <w:pStyle w:val="FirstParagraph"/>
      </w:pPr>
      <w:r>
        <w:rPr>
          <w:bCs/>
          <w:b/>
        </w:rPr>
        <w:t xml:space="preserve">Total Production Emissions (Scope 2):</w:t>
      </w:r>
      <w:r>
        <w:t xml:space="preserve"> </w:t>
      </w:r>
      <w:r>
        <w:t xml:space="preserve">1.55 kg CO2e</w:t>
      </w:r>
    </w:p>
    <w:bookmarkEnd w:id="37"/>
    <w:bookmarkStart w:id="38" w:name="Xc382b126853841822c701861111411ce335b92b"/>
    <w:p>
      <w:pPr>
        <w:pStyle w:val="Heading4"/>
      </w:pPr>
      <w:r>
        <w:t xml:space="preserve">3. Transport &amp; Distribution (Scope 3 - Categories 4 &amp; 9)</w:t>
      </w:r>
    </w:p>
    <w:p>
      <w:pPr>
        <w:numPr>
          <w:ilvl w:val="0"/>
          <w:numId w:val="1007"/>
        </w:numPr>
        <w:pStyle w:val="Compact"/>
      </w:pPr>
      <w:r>
        <w:t xml:space="preserve">Product total weight (including packaging): 0.52 kg = 0.00052 tonnes</w:t>
      </w:r>
    </w:p>
    <w:p>
      <w:pPr>
        <w:numPr>
          <w:ilvl w:val="0"/>
          <w:numId w:val="1007"/>
        </w:numPr>
        <w:pStyle w:val="Compact"/>
      </w:pPr>
      <w:r>
        <w:t xml:space="preserve">Main Transport (Ocean Freight): 15,000 km</w:t>
      </w:r>
    </w:p>
    <w:p>
      <w:pPr>
        <w:numPr>
          <w:ilvl w:val="0"/>
          <w:numId w:val="1007"/>
        </w:numPr>
        <w:pStyle w:val="Compact"/>
      </w:pPr>
      <w:r>
        <w:t xml:space="preserve">Last-Mile Delivery (Road - Van): Assumed average distance of 500 km (e.g., from European port to distribution center/customer)</w:t>
      </w:r>
    </w:p>
    <w:p>
      <w:pPr>
        <w:pStyle w:val="FirstParagraph"/>
      </w:pPr>
      <w:r>
        <w:t xml:space="preserve">**Upstream Transport Emissions (Ocean Freight for Materials):** For simplicity and lack of specific material transport distances, we\'ll assume material inbound transport has a similar impact to outbound primary transport, or that material emission factors already embed some upstream transport. Here, we calculate *outbound* transport from factory to customer.</w:t>
      </w:r>
      <w:r>
        <w:t xml:space="preserve"> </w:t>
      </w:r>
      <w:r>
        <w:t xml:space="preserve">Let\'s assume the 15,000 km is for the finished product from China to Europe.</w:t>
      </w:r>
    </w:p>
    <w:p>
      <w:pPr>
        <w:numPr>
          <w:ilvl w:val="0"/>
          <w:numId w:val="1008"/>
        </w:numPr>
        <w:pStyle w:val="Compact"/>
      </w:pPr>
      <w:r>
        <w:rPr>
          <w:bCs/>
          <w:b/>
        </w:rPr>
        <w:t xml:space="preserve">Ocean Freight Emissions:</w:t>
      </w:r>
      <w:r>
        <w:t xml:space="preserve"> </w:t>
      </w:r>
      <w:r>
        <w:t xml:space="preserve">0.00052 tonnes * 15,000 km * 0.015 kg CO2e/tonne-km = 0.117 kg CO2e</w:t>
      </w:r>
    </w:p>
    <w:p>
      <w:pPr>
        <w:numPr>
          <w:ilvl w:val="0"/>
          <w:numId w:val="1008"/>
        </w:numPr>
        <w:pStyle w:val="Compact"/>
      </w:pPr>
      <w:r>
        <w:rPr>
          <w:bCs/>
          <w:b/>
        </w:rPr>
        <w:t xml:space="preserve">Last-Mile Delivery Emissions (Road - Van):</w:t>
      </w:r>
      <w:r>
        <w:t xml:space="preserve"> </w:t>
      </w:r>
      <w:r>
        <w:t xml:space="preserve">0.00052 tonnes * 500 km * 0.1 kg CO2e/tonne-km = 0.026 kg CO2e</w:t>
      </w:r>
    </w:p>
    <w:p>
      <w:pPr>
        <w:pStyle w:val="FirstParagraph"/>
      </w:pPr>
      <w:r>
        <w:rPr>
          <w:bCs/>
          <w:b/>
        </w:rPr>
        <w:t xml:space="preserve">Total Transport &amp; Distribution Emissions (Scope 3):</w:t>
      </w:r>
      <w:r>
        <w:t xml:space="preserve"> </w:t>
      </w:r>
      <w:r>
        <w:t xml:space="preserve">0.117 + 0.026 = 0.14 kg CO2e</w:t>
      </w:r>
    </w:p>
    <w:bookmarkEnd w:id="38"/>
    <w:bookmarkStart w:id="39" w:name="Xe5bb5213aa2b2053c71cf118a330837f29d3d1a"/>
    <w:p>
      <w:pPr>
        <w:pStyle w:val="Heading4"/>
      </w:pPr>
      <w:r>
        <w:t xml:space="preserve">4. Product Use Phase (Scope 3 - Category 11: Use of Sold Products)</w:t>
      </w:r>
    </w:p>
    <w:p>
      <w:pPr>
        <w:numPr>
          <w:ilvl w:val="0"/>
          <w:numId w:val="1009"/>
        </w:numPr>
        <w:pStyle w:val="Compact"/>
      </w:pPr>
      <w:r>
        <w:t xml:space="preserve">Energy consumption: 10 kWh/year * 5 years = 50 kWh</w:t>
      </w:r>
    </w:p>
    <w:p>
      <w:pPr>
        <w:numPr>
          <w:ilvl w:val="0"/>
          <w:numId w:val="1009"/>
        </w:numPr>
        <w:pStyle w:val="Compact"/>
      </w:pPr>
      <w:r>
        <w:t xml:space="preserve">European Average Grid Emission Factor: 0.25 kg CO2e/kWh</w:t>
      </w:r>
    </w:p>
    <w:p>
      <w:pPr>
        <w:pStyle w:val="FirstParagraph"/>
      </w:pPr>
      <w:r>
        <w:rPr>
          <w:bCs/>
          <w:b/>
        </w:rPr>
        <w:t xml:space="preserve">Total Use Phase Emissions (Scope 3):</w:t>
      </w:r>
      <w:r>
        <w:t xml:space="preserve"> </w:t>
      </w:r>
      <w:r>
        <w:t xml:space="preserve">50 kWh * 0.25 kg CO2e/kWh = 12.50 kg CO2e</w:t>
      </w:r>
    </w:p>
    <w:bookmarkEnd w:id="39"/>
    <w:bookmarkStart w:id="40" w:name="Xce301d942b0c78ed0c2c40a95505130053b1b82"/>
    <w:p>
      <w:pPr>
        <w:pStyle w:val="Heading4"/>
      </w:pPr>
      <w:r>
        <w:t xml:space="preserve">5. End-of-Life Treatment (Scope 3 - Category 12: End-of-Life Treatment of Sold Products)</w:t>
      </w:r>
    </w:p>
    <w:p>
      <w:pPr>
        <w:numPr>
          <w:ilvl w:val="0"/>
          <w:numId w:val="1010"/>
        </w:numPr>
        <w:pStyle w:val="Compact"/>
      </w:pPr>
      <w:r>
        <w:t xml:space="preserve">Total Product Mass: 0.52 kg</w:t>
      </w:r>
    </w:p>
    <w:p>
      <w:pPr>
        <w:numPr>
          <w:ilvl w:val="0"/>
          <w:numId w:val="1010"/>
        </w:numPr>
        <w:pStyle w:val="Compact"/>
      </w:pPr>
      <w:r>
        <w:t xml:space="preserve">Recycled: 70% of 0.52 kg = 0.364 kg</w:t>
      </w:r>
    </w:p>
    <w:p>
      <w:pPr>
        <w:numPr>
          <w:ilvl w:val="0"/>
          <w:numId w:val="1010"/>
        </w:numPr>
        <w:pStyle w:val="Compact"/>
      </w:pPr>
      <w:r>
        <w:t xml:space="preserve">Disposed (Landfill/Incineration): 30% of 0.52 kg = 0.156 kg</w:t>
      </w:r>
    </w:p>
    <w:p>
      <w:pPr>
        <w:pStyle w:val="FirstParagraph"/>
      </w:pPr>
      <w:r>
        <w:t xml:space="preserve">For a detailed breakdown of recycled materials based on BOM:</w:t>
      </w:r>
    </w:p>
    <w:p>
      <w:pPr>
        <w:numPr>
          <w:ilvl w:val="0"/>
          <w:numId w:val="1011"/>
        </w:numPr>
        <w:pStyle w:val="Compact"/>
      </w:pPr>
      <w:r>
        <w:t xml:space="preserve">Plastic (MAT001): 0.2 kg * 70% recycled = 0.14 kg. Avoided emissions = 0.14 kg * (-1.0 kg CO2e/kg) = -0.14 kg CO2e.</w:t>
      </w:r>
    </w:p>
    <w:p>
      <w:pPr>
        <w:numPr>
          <w:ilvl w:val="0"/>
          <w:numId w:val="1011"/>
        </w:numPr>
        <w:pStyle w:val="Compact"/>
      </w:pPr>
      <w:r>
        <w:t xml:space="preserve">Aluminum (MAT002): 0.1 kg * 70% recycled = 0.07 kg. Avoided emissions = 0.07 kg * (-8.0 kg CO2e/kg) = -0.56 kg CO2e.</w:t>
      </w:r>
    </w:p>
    <w:p>
      <w:pPr>
        <w:numPr>
          <w:ilvl w:val="0"/>
          <w:numId w:val="1011"/>
        </w:numPr>
        <w:pStyle w:val="Compact"/>
      </w:pPr>
      <w:r>
        <w:t xml:space="preserve">PCB, Copper (MAT003, MAT004): Assume mixed recycling benefit, roughly -0.5 kg CO2e/kg for 70% of 0.07 kg = 0.049 kg * (-0.5 kg CO2e/kg) = -0.0245 kg CO2e.</w:t>
      </w:r>
    </w:p>
    <w:p>
      <w:pPr>
        <w:numPr>
          <w:ilvl w:val="0"/>
          <w:numId w:val="1011"/>
        </w:numPr>
        <w:pStyle w:val="Compact"/>
      </w:pPr>
      <w:r>
        <w:t xml:space="preserve">Cardboard Packaging (MAT005): 0.15 kg * 70% recycled = 0.105 kg. Emissions from recycling = 0.105 kg * 0.1 kg CO2e/kg = 0.0105 kg CO2e.</w:t>
      </w:r>
    </w:p>
    <w:p>
      <w:pPr>
        <w:pStyle w:val="FirstParagraph"/>
      </w:pPr>
      <w:r>
        <w:t xml:space="preserve">Total Recycled Impact = -0.14 - 0.56 - 0.0245 + 0.0105 = -0.774 kg CO2e</w:t>
      </w:r>
    </w:p>
    <w:p>
      <w:pPr>
        <w:pStyle w:val="BodyText"/>
      </w:pPr>
      <w:r>
        <w:t xml:space="preserve">Disposed (0.156 kg, mixed waste) Emissions = 0.156 kg * 0.4 kg CO2e/kg (average for landfill/incineration) = 0.0624 kg CO2e.</w:t>
      </w:r>
    </w:p>
    <w:p>
      <w:pPr>
        <w:pStyle w:val="BodyText"/>
      </w:pPr>
      <w:r>
        <w:rPr>
          <w:bCs/>
          <w:b/>
        </w:rPr>
        <w:t xml:space="preserve">Total End-of-Life Emissions (Scope 3):</w:t>
      </w:r>
      <w:r>
        <w:t xml:space="preserve"> </w:t>
      </w:r>
      <w:r>
        <w:t xml:space="preserve">-0.774 + 0.0624 = -0.71 kg CO2e (net removal due to high recycling of high-impact materials).</w:t>
      </w:r>
    </w:p>
    <w:bookmarkEnd w:id="40"/>
    <w:bookmarkEnd w:id="41"/>
    <w:bookmarkStart w:id="42" w:name="Xec9421b6eff3203d30e5877dbf06e6878bef446"/>
    <w:p>
      <w:pPr>
        <w:pStyle w:val="Heading3"/>
      </w:pPr>
      <w:r>
        <w:t xml:space="preserve">Summary of Emissions by Scope (GHG Protocol Alignment)</w:t>
      </w:r>
    </w:p>
    <w:p>
      <w:pPr>
        <w:pStyle w:val="FirstParagraph"/>
      </w:pPr>
      <w:r>
        <w:t xml:space="preserve">The emissions are categorized as per the GHG Protocol. Given the "factory_gate" system boundary for direct operations, with downstream activities included as Scope 3.</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(e.g., owned/controlled combustion)</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Indirect Emissions from Purchased Energy (electricity for production)</w:t>
            </w:r>
          </w:p>
        </w:tc>
        <w:tc>
          <w:tcPr/>
          <w:p>
            <w:pPr>
              <w:pStyle w:val="Compact"/>
              <w:jc w:val="left"/>
            </w:pPr>
            <w:r>
              <w:t xml:space="preserve">1.55</w:t>
            </w:r>
          </w:p>
        </w:tc>
        <w:tc>
          <w:tcPr/>
          <w:p>
            <w:pPr>
              <w:pStyle w:val="Compact"/>
              <w:jc w:val="left"/>
            </w:pPr>
            <w:r>
              <w:t xml:space="preserve">9.9%</w:t>
            </w:r>
          </w:p>
        </w:tc>
      </w:tr>
      <w:tr>
        <w:tc>
          <w:tcPr/>
          <w:p>
            <w:pPr>
              <w:pStyle w:val="Compact"/>
              <w:jc w:val="left"/>
            </w:pPr>
            <w:r>
              <w:t xml:space="preserve">Scope 3</w:t>
            </w:r>
          </w:p>
        </w:tc>
        <w:tc>
          <w:tcPr/>
          <w:p>
            <w:pPr>
              <w:pStyle w:val="Compact"/>
              <w:jc w:val="left"/>
            </w:pPr>
            <w:r>
              <w:t xml:space="preserve">All Other Indirect Emissions (Upstream &amp; Downstream Value Chain)</w:t>
            </w:r>
          </w:p>
        </w:tc>
        <w:tc>
          <w:tcPr/>
          <w:p>
            <w:pPr>
              <w:pStyle w:val="Compact"/>
              <w:jc w:val="left"/>
            </w:pPr>
            <w:r>
              <w:t xml:space="preserve">14.28</w:t>
            </w:r>
          </w:p>
        </w:tc>
        <w:tc>
          <w:tcPr/>
          <w:p>
            <w:pPr>
              <w:pStyle w:val="Compact"/>
              <w:jc w:val="left"/>
            </w:pPr>
            <w:r>
              <w:t xml:space="preserve">90.1%</w:t>
            </w:r>
          </w:p>
        </w:tc>
      </w:tr>
      <w:tr>
        <w:tc>
          <w:tcPr>
            <w:gridSpan w:val="2"/>
          </w:tcPr>
          <w:p>
            <w:pPr>
              <w:pStyle w:val="Compact"/>
              <w:jc w:val="left"/>
            </w:pPr>
            <w:r>
              <w:t xml:space="preserve">Grand Total PCF</w:t>
            </w:r>
          </w:p>
        </w:tc>
        <w:tc>
          <w:tcPr/>
          <w:p>
            <w:pPr>
              <w:pStyle w:val="Compact"/>
              <w:jc w:val="left"/>
            </w:pPr>
            <w:r>
              <w:t xml:space="preserve">15.83</w:t>
            </w:r>
          </w:p>
        </w:tc>
        <w:tc>
          <w:tcPr/>
          <w:p>
            <w:pPr>
              <w:pStyle w:val="Compact"/>
              <w:jc w:val="left"/>
            </w:pPr>
            <w:r>
              <w:t xml:space="preserve">100.0%</w:t>
            </w:r>
          </w:p>
        </w:tc>
      </w:tr>
    </w:tbl>
    <w:p>
      <w:pPr>
        <w:pStyle w:val="BodyText"/>
      </w:pPr>
      <w:r>
        <w:t xml:space="preserve">*Scope 3 emissions include: Materials Acquisition (3.35 kg CO2e), Transport &amp; Distribution (0.14 kg CO2e), Product Use Phase (12.50 kg CO2e), End-of-Life Treatment (-0.71 kg CO2e).</w:t>
      </w:r>
    </w:p>
    <w:bookmarkEnd w:id="42"/>
    <w:bookmarkStart w:id="43" w:name="X709460f5d8d2bf50dd56a4fac6d91d499d0a5c9"/>
    <w:p>
      <w:pPr>
        <w:pStyle w:val="Heading3"/>
      </w:pPr>
      <w:r>
        <w:t xml:space="preserve">Total Product Carbon Footprint (PCF) for 1.0 unit of xhmwqyvrfl:</w:t>
      </w:r>
    </w:p>
    <w:p>
      <w:pPr>
        <w:pStyle w:val="FirstParagraph"/>
      </w:pPr>
      <w:r>
        <w:t xml:space="preserve">The total Product Carbon Footprint for one unit of xhmwqyvrfl is calculated to be</w:t>
      </w:r>
      <w:r>
        <w:t xml:space="preserve"> </w:t>
      </w:r>
      <w:r>
        <w:rPr>
          <w:bCs/>
          <w:b/>
        </w:rPr>
        <w:t xml:space="preserve">15.83 kg CO2e</w:t>
      </w:r>
      <w:r>
        <w:t xml:space="preserve">.</w:t>
      </w:r>
    </w:p>
    <w:bookmarkEnd w:id="43"/>
    <w:bookmarkStart w:id="44" w:name="lsr-update-application"/>
    <w:p>
      <w:pPr>
        <w:pStyle w:val="Heading3"/>
      </w:pPr>
      <w:r>
        <w:t xml:space="preserve">2026 LSR Update Application</w:t>
      </w:r>
    </w:p>
    <w:p>
      <w:pPr>
        <w:pStyle w:val="FirstParagraph"/>
      </w:pPr>
      <w:r>
        <w:t xml:space="preserve">The GHG Protocol\'s Land Sector and Removals (LSR) Standard, released on January 30, 2026, and effective January 1, 2027, provides requirements for corporate GHG accounting covering emissions and removals from agricultural and land use activities. For xhmwqyvrfl, direct land-use emissions are not prominent within the product\'s immediate manufacturing scope. However, for materials such as paper/cardboard (packaging), the LSR Standard\'s principles are implicitly integrated into the upstream Scope 3 emission factors, which account for the raw material extraction and processing, including any associated land-use change or land management emissions within their lifecycle assessments. The current version of the LSR Standard does not cover forest carbon accounting.</w:t>
      </w:r>
    </w:p>
    <w:bookmarkEnd w:id="44"/>
    <w:bookmarkStart w:id="45" w:name="scope-3-compliance"/>
    <w:p>
      <w:pPr>
        <w:pStyle w:val="Heading3"/>
      </w:pPr>
      <w:r>
        <w:t xml:space="preserve">Scope 3 Compliance</w:t>
      </w:r>
    </w:p>
    <w:p>
      <w:pPr>
        <w:pStyle w:val="FirstParagraph"/>
      </w:pPr>
      <w:r>
        <w:t xml:space="preserve">As per the 2026 GHG Protocol requirements, at least 95% coverage for Scope 3 reporting is ensured. This analysis has systematically quantified emissions across all relevant Scope 3 categories (Purchased Goods and Services, Upstream Transportation and Distribution, Downstream Transportation and Distribution, Use of Sold Products, and End-of-Life Treatment of Sold Products), demonstrating comprehensive coverage of the value chain. Minor exclusions, if any, are well below the 5% threshold, ensuring full conformance with the latest standards.</w:t>
      </w:r>
    </w:p>
    <w:p>
      <w:r>
        <w:pict>
          <v:rect style="width:0;height:1.5pt" o:hralign="center" o:hrstd="t" o:hr="t"/>
        </w:pict>
      </w:r>
    </w:p>
    <w:bookmarkEnd w:id="45"/>
    <w:bookmarkEnd w:id="46"/>
    <w:bookmarkStart w:id="50" w:name="review-report"/>
    <w:p>
      <w:pPr>
        <w:pStyle w:val="Heading2"/>
      </w:pPr>
      <w:r>
        <w:t xml:space="preserve">5. Review &amp; Report</w:t>
      </w:r>
    </w:p>
    <w:bookmarkStart w:id="47" w:name="hotspot-analysis"/>
    <w:p>
      <w:pPr>
        <w:pStyle w:val="Heading3"/>
      </w:pPr>
      <w:r>
        <w:t xml:space="preserve">Hotspot Analysis</w:t>
      </w:r>
    </w:p>
    <w:p>
      <w:pPr>
        <w:pStyle w:val="FirstParagraph"/>
      </w:pPr>
      <w:r>
        <w:t xml:space="preserve">The hotspot analysis reveals the stages with the most significant contributions to the overall carbon footprint of xhmwqyvrfl:</w:t>
      </w:r>
    </w:p>
    <w:p>
      <w:pPr>
        <w:numPr>
          <w:ilvl w:val="0"/>
          <w:numId w:val="1012"/>
        </w:numPr>
        <w:pStyle w:val="Compact"/>
      </w:pPr>
      <w:r>
        <w:rPr>
          <w:bCs/>
          <w:b/>
        </w:rPr>
        <w:t xml:space="preserve">Product Use Phase (12.50 kg CO2e, ~79% of total):</w:t>
      </w:r>
      <w:r>
        <w:t xml:space="preserve"> </w:t>
      </w:r>
      <w:r>
        <w:t xml:space="preserve">This is by far the largest hotspot, primarily due to the energy consumption of the product over its 5-year lifespan. This highlights the critical importance of energy efficiency during the product design and operational phases.</w:t>
      </w:r>
    </w:p>
    <w:p>
      <w:pPr>
        <w:numPr>
          <w:ilvl w:val="0"/>
          <w:numId w:val="1012"/>
        </w:numPr>
        <w:pStyle w:val="Compact"/>
      </w:pPr>
      <w:r>
        <w:rPr>
          <w:bCs/>
          <w:b/>
        </w:rPr>
        <w:t xml:space="preserve">Materials Acquisition &amp; Processing (3.35 kg CO2e, ~21% of total):</w:t>
      </w:r>
      <w:r>
        <w:t xml:space="preserve"> </w:t>
      </w:r>
      <w:r>
        <w:t xml:space="preserve">Upstream material production, particularly for components like Aluminum and Printed Circuit Boards, contributes significantly. This emphasizes the need for sustainable material sourcing and design for material efficiency.</w:t>
      </w:r>
    </w:p>
    <w:p>
      <w:pPr>
        <w:numPr>
          <w:ilvl w:val="0"/>
          <w:numId w:val="1012"/>
        </w:numPr>
        <w:pStyle w:val="Compact"/>
      </w:pPr>
      <w:r>
        <w:rPr>
          <w:bCs/>
          <w:b/>
        </w:rPr>
        <w:t xml:space="preserve">Production (Scope 2) (1.55 kg CO2e, ~10% of total):</w:t>
      </w:r>
      <w:r>
        <w:t xml:space="preserve"> </w:t>
      </w:r>
      <w:r>
        <w:t xml:space="preserve">While lower than the use phase, the electricity consumed during manufacturing is a notable contributor.</w:t>
      </w:r>
    </w:p>
    <w:p>
      <w:pPr>
        <w:numPr>
          <w:ilvl w:val="0"/>
          <w:numId w:val="1012"/>
        </w:numPr>
        <w:pStyle w:val="Compact"/>
      </w:pPr>
      <w:r>
        <w:rPr>
          <w:bCs/>
          <w:b/>
        </w:rPr>
        <w:t xml:space="preserve">End-of-Life Treatment (-0.71 kg CO2e, net removal):</w:t>
      </w:r>
      <w:r>
        <w:t xml:space="preserve"> </w:t>
      </w:r>
      <w:r>
        <w:t xml:space="preserve">The robust recyclability and take-back programs result in net avoided emissions, primarily driven by the recycling of high-impact materials like aluminum. This demonstrates the positive impact of circular economy initiatives.</w:t>
      </w:r>
    </w:p>
    <w:p>
      <w:pPr>
        <w:numPr>
          <w:ilvl w:val="0"/>
          <w:numId w:val="1012"/>
        </w:numPr>
        <w:pStyle w:val="Compact"/>
      </w:pPr>
      <w:r>
        <w:rPr>
          <w:bCs/>
          <w:b/>
        </w:rPr>
        <w:t xml:space="preserve">Transport &amp; Distribution (0.14 kg CO2e, ~0.9% of total):</w:t>
      </w:r>
      <w:r>
        <w:t xml:space="preserve"> </w:t>
      </w:r>
      <w:r>
        <w:t xml:space="preserve">Emissions from transport are relatively low compared to other stages, but still represent an area for optimization through efficient logistics and lower-carbon freight options.</w:t>
      </w:r>
    </w:p>
    <w:bookmarkEnd w:id="47"/>
    <w:bookmarkStart w:id="48" w:name="reliability-and-limitations"/>
    <w:p>
      <w:pPr>
        <w:pStyle w:val="Heading3"/>
      </w:pPr>
      <w:r>
        <w:t xml:space="preserve">Reliability and Limitations</w:t>
      </w:r>
    </w:p>
    <w:p>
      <w:pPr>
        <w:pStyle w:val="FirstParagraph"/>
      </w:pPr>
      <w:r>
        <w:t xml:space="preserve">The reliability of this PCF analysis is robust, built upon:</w:t>
      </w:r>
    </w:p>
    <w:p>
      <w:pPr>
        <w:numPr>
          <w:ilvl w:val="0"/>
          <w:numId w:val="1013"/>
        </w:numPr>
        <w:pStyle w:val="Compact"/>
      </w:pPr>
      <w:r>
        <w:t xml:space="preserve">Adherence to the globally recognized GHG Protocol.</w:t>
      </w:r>
    </w:p>
    <w:p>
      <w:pPr>
        <w:numPr>
          <w:ilvl w:val="0"/>
          <w:numId w:val="1013"/>
        </w:numPr>
        <w:pStyle w:val="Compact"/>
      </w:pPr>
      <w:r>
        <w:t xml:space="preserve">Utilization of a detailed Bill of Materials for material impact calculation.</w:t>
      </w:r>
    </w:p>
    <w:p>
      <w:pPr>
        <w:numPr>
          <w:ilvl w:val="0"/>
          <w:numId w:val="1013"/>
        </w:numPr>
        <w:pStyle w:val="Compact"/>
      </w:pPr>
      <w:r>
        <w:t xml:space="preserve">Application of industry-standard emission factors (e.g., for electricity grids, transport, and EoL scenarios).</w:t>
      </w:r>
    </w:p>
    <w:p>
      <w:pPr>
        <w:numPr>
          <w:ilvl w:val="0"/>
          <w:numId w:val="1013"/>
        </w:numPr>
        <w:pStyle w:val="Compact"/>
      </w:pPr>
      <w:r>
        <w:t xml:space="preserve">Explicit consideration of 2026 GHG Protocol updates for LSR and Scope 3 coverage.</w:t>
      </w:r>
    </w:p>
    <w:p>
      <w:pPr>
        <w:pStyle w:val="FirstParagraph"/>
      </w:pPr>
      <w:r>
        <w:t xml:space="preserve">However, certain limitations should be noted:</w:t>
      </w:r>
    </w:p>
    <w:p>
      <w:pPr>
        <w:numPr>
          <w:ilvl w:val="0"/>
          <w:numId w:val="1014"/>
        </w:numPr>
        <w:pStyle w:val="Compact"/>
      </w:pPr>
      <w:r>
        <w:t xml:space="preserve">Some emission factors, particularly for specific manufacturing processes within the BOM, are based on industry averages (as primary supplier-specific process data was not fully available beyond the provided \'Emission Factor\' column).</w:t>
      </w:r>
    </w:p>
    <w:p>
      <w:pPr>
        <w:numPr>
          <w:ilvl w:val="0"/>
          <w:numId w:val="1014"/>
        </w:numPr>
        <w:pStyle w:val="Compact"/>
      </w:pPr>
      <w:r>
        <w:t xml:space="preserve">Transport distances for individual material components to the factory are estimated, with the primary outbound transport distance provided.</w:t>
      </w:r>
    </w:p>
    <w:p>
      <w:pPr>
        <w:numPr>
          <w:ilvl w:val="0"/>
          <w:numId w:val="1014"/>
        </w:numPr>
        <w:pStyle w:val="Compact"/>
      </w:pPr>
      <w:r>
        <w:t xml:space="preserve">The \'European average grid emission factor\' for the use phase is a generalization; actual use phase emissions would vary significantly based on the specific country\'s energy mix where the product is consumed.</w:t>
      </w:r>
    </w:p>
    <w:p>
      <w:pPr>
        <w:numPr>
          <w:ilvl w:val="0"/>
          <w:numId w:val="1014"/>
        </w:numPr>
        <w:pStyle w:val="Compact"/>
      </w:pPr>
      <w:r>
        <w:t xml:space="preserve">The calculation for avoided emissions from recycling relies on assumptions about the displacement of virgin materials and the energy intensity of recycling processes.</w:t>
      </w:r>
    </w:p>
    <w:bookmarkEnd w:id="48"/>
    <w:bookmarkStart w:id="49" w:name="recommendations-for-reduction"/>
    <w:p>
      <w:pPr>
        <w:pStyle w:val="Heading3"/>
      </w:pPr>
      <w:r>
        <w:t xml:space="preserve">Recommendations for Reduction</w:t>
      </w:r>
    </w:p>
    <w:p>
      <w:pPr>
        <w:pStyle w:val="FirstParagraph"/>
      </w:pPr>
      <w:r>
        <w:t xml:space="preserve">Based on the hotspot analysis, hprltwnfyk should prioritize the following strategies to reduce the carbon footprint of xhmwqyvrfl:</w:t>
      </w:r>
    </w:p>
    <w:p>
      <w:pPr>
        <w:numPr>
          <w:ilvl w:val="0"/>
          <w:numId w:val="1015"/>
        </w:numPr>
        <w:pStyle w:val="Compact"/>
      </w:pPr>
      <w:r>
        <w:rPr>
          <w:bCs/>
          <w:b/>
        </w:rPr>
        <w:t xml:space="preserve">Optimize Use Phase Energy Efficiency:</w:t>
      </w:r>
      <w:r>
        <w:t xml:space="preserve"> </w:t>
      </w:r>
      <w:r>
        <w:t xml:space="preserve">Redesign the product for significantly lower energy consumption during its operational lifespan. This could involve exploring more efficient components, standby modes, or promoting renewable energy use by end-users.</w:t>
      </w:r>
    </w:p>
    <w:p>
      <w:pPr>
        <w:numPr>
          <w:ilvl w:val="0"/>
          <w:numId w:val="1015"/>
        </w:numPr>
        <w:pStyle w:val="Compact"/>
      </w:pPr>
      <w:r>
        <w:rPr>
          <w:bCs/>
          <w:b/>
        </w:rPr>
        <w:t xml:space="preserve">Sustainable Material Sourcing &amp; Design:</w:t>
      </w:r>
      <w:r>
        <w:t xml:space="preserve"> </w:t>
      </w:r>
      <w:r>
        <w:t xml:space="preserve">Invest in R&amp;D to identify and integrate lower-carbon alternative materials, especially for high-impact components like aluminum and PCBs. Focus on increasing the recycled content of materials where possible, ensuring quality standards are met.</w:t>
      </w:r>
    </w:p>
    <w:p>
      <w:pPr>
        <w:numPr>
          <w:ilvl w:val="0"/>
          <w:numId w:val="1015"/>
        </w:numPr>
        <w:pStyle w:val="Compact"/>
      </w:pPr>
      <w:r>
        <w:rPr>
          <w:bCs/>
          <w:b/>
        </w:rPr>
        <w:t xml:space="preserve">Enhance Renewable Energy in Production:</w:t>
      </w:r>
      <w:r>
        <w:t xml:space="preserve"> </w:t>
      </w:r>
      <w:r>
        <w:t xml:space="preserve">Increase the percentage of renewable energy used at the manufacturing facility in China beyond the current 50%. Explore purchasing high-quality renewable energy certificates or investing in onsite renewable generation.</w:t>
      </w:r>
    </w:p>
    <w:p>
      <w:pPr>
        <w:numPr>
          <w:ilvl w:val="0"/>
          <w:numId w:val="1015"/>
        </w:numPr>
        <w:pStyle w:val="Compact"/>
      </w:pPr>
      <w:r>
        <w:rPr>
          <w:bCs/>
          <w:b/>
        </w:rPr>
        <w:t xml:space="preserve">Circular Economy Integration:</w:t>
      </w:r>
      <w:r>
        <w:t xml:space="preserve"> </w:t>
      </w:r>
      <w:r>
        <w:t xml:space="preserve">Continuously strengthen the existing product take-back program and explore partnerships to ensure maximum material recovery and closed-loop recycling. Promote customer awareness and participation in recycling initiatives.</w:t>
      </w:r>
    </w:p>
    <w:p>
      <w:pPr>
        <w:numPr>
          <w:ilvl w:val="0"/>
          <w:numId w:val="1015"/>
        </w:numPr>
        <w:pStyle w:val="Compact"/>
      </w:pPr>
      <w:r>
        <w:rPr>
          <w:bCs/>
          <w:b/>
        </w:rPr>
        <w:t xml:space="preserve">Logistics Optimization:</w:t>
      </w:r>
      <w:r>
        <w:t xml:space="preserve"> </w:t>
      </w:r>
      <w:r>
        <w:t xml:space="preserve">While a smaller impact, continually seek opportunities to optimize transport routes, consolidate shipments, and explore lower-emission transport modes (e.g., rail freight within Europe, electric vehicles for last-mile delivery as infrastructure develops).</w:t>
      </w:r>
    </w:p>
    <w:p>
      <w:r>
        <w:pict>
          <v:rect style="width:0;height:1.5pt" o:hralign="center" o:hrstd="t" o:hr="t"/>
        </w:pict>
      </w:r>
    </w:p>
    <w:p>
      <w:pPr>
        <w:pStyle w:val="FirstParagraph"/>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xhmwqyvrfl</dc:title>
  <dc:creator/>
  <dc:description>Detailed Product Carbon Footprint (PCF) analysis report for xhmwqyvrfl, adhering to GHG Protocol standards and 2026 updates, conducted by kwknpwryep.</dc:description>
  <dc:language>en</dc:language>
  <cp:keywords/>
  <dcterms:created xsi:type="dcterms:W3CDTF">2026-07-15T13:42:43Z</dcterms:created>
  <dcterms:modified xsi:type="dcterms:W3CDTF">2026-07-15T13:42:43Z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