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xgximrxgkj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xgximrxgkj</w:t>
      </w:r>
    </w:p>
    <w:p>
      <w:pPr>
        <w:pStyle w:val="BodyText"/>
      </w:pPr>
      <w:r>
        <w:t xml:space="preserve">Company: ojttklhwez</w:t>
      </w:r>
    </w:p>
    <w:p>
      <w:pPr>
        <w:pStyle w:val="BodyText"/>
      </w:pPr>
      <w:r>
        <w:t xml:space="preserve">Protocol Data (Accounting Standard): GHG Protocol</w:t>
      </w:r>
    </w:p>
    <w:p>
      <w:pPr>
        <w:pStyle w:val="BodyText"/>
      </w:pPr>
      <w:r>
        <w:t xml:space="preserve">Senior Sustainability Consultant: tvhdukjvut</w:t>
      </w:r>
    </w:p>
    <w:p>
      <w:pPr>
        <w:pStyle w:val="BodyText"/>
      </w:pPr>
      <w:r>
        <w:t xml:space="preserve">Disclaimer: This report is generated based on available data and industry standards. Actual numerical data has been simulated where specific values were not provided as per user prompt parameters.</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\'xgximrxgkj\', manufactured by \'ojttklhwez\'. The analysis was conducted by \'tvhdukjvut\', a Senior Sustainability Consultant specializing in GHG Protocol. The PCF quantifies the total greenhouse gas (GHG) emissions associated with the product\'s entire lifecycle, from raw material extraction to end-of-life, adhering strictly to the GHG Protocol Product Standard. Key parameters such as a detailed Bill of Materials, transport logistics, energy usage, product lifespan, and end-of-life scenarios have been incorporated to provide a comprehensive assessment. This report also considers the 2026 Land Sector and Removals (LSR) Standard updates and ensures robust Scope 3 compliance.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performing a Product Carbon Footprint analysis is to clearly define the scope, ensuring all relevant emissions sources are accounted for systematically.</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\'xgximrxgkj\'. This unit serves as the reference basis to which all input and output flows are related.</w:t>
      </w:r>
    </w:p>
    <w:p>
      <w:pPr>
        <w:numPr>
          <w:ilvl w:val="0"/>
          <w:numId w:val="1001"/>
        </w:numPr>
        <w:pStyle w:val="Compact"/>
      </w:pPr>
      <w:r>
        <w:rPr>
          <w:bCs/>
          <w:b/>
        </w:rPr>
        <w:t xml:space="preserve">System Boundary:</w:t>
      </w:r>
      <w:r>
        <w:t xml:space="preserve"> </w:t>
      </w:r>
      <w:r>
        <w:t xml:space="preserve">The system boundary for this PCF is initially defined as</w:t>
      </w:r>
      <w:r>
        <w:t xml:space="preserve"> </w:t>
      </w:r>
      <w:r>
        <w:rPr>
          <w:bCs/>
          <w:b/>
        </w:rPr>
        <w:t xml:space="preserve">factory_gate</w:t>
      </w:r>
      <w:r>
        <w:t xml:space="preserve">. However, to provide a comprehensive view as per the provided parameters, emissions covering raw material extraction, processing, component manufacturing, transportation to the final production facility, downstream transportation, use phase, and end-of-life are all included, effectively encompassing a \'cradle-to-grave\'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means that production emissions are primarily attributed to operations within China, while considerations for material sourcing and distribution logistics are analyzed with a significant focus on European supply chains and end-use markets.</w:t>
      </w:r>
    </w:p>
    <w:p>
      <w:pPr>
        <w:numPr>
          <w:ilvl w:val="0"/>
          <w:numId w:val="1001"/>
        </w:numPr>
        <w:pStyle w:val="Compact"/>
      </w:pPr>
      <w:r>
        <w:rPr>
          <w:bCs/>
          <w:b/>
        </w:rPr>
        <w:t xml:space="preserve">Allocation:</w:t>
      </w:r>
      <w:r>
        <w:t xml:space="preserve"> </w:t>
      </w:r>
      <w:r>
        <w:t xml:space="preserve">Given this is a product-level assessment, direct allocation methods are employed. Where processes are shared, an appropriate allocation method (e.g., based on mass, economic value, or physical relationship) would be applied. For the material inventory, emissions are directly linked to the quantities and types of materials specific to \'xgximrxgkj\'.</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systematically categorized into Scope 1 (direct emissions from owned or controlled sources), Scope 2 (indirect emissions from the generation of purchased energy), and Scope 3 (all other indirect emissions that occur in a company\'s value chain).</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various lifecycle stages of the product \'xgximrxgkj\' and the corresponding data points collected for the analysis. For illustrative purposes, example numerical values are used for calculations where specific numerical data was not provided in the parameters (e.g., for transport modes, distances, energy consumption in use, and EoL scenarios). However, for the Bill of Materials, the provided structure and specific fields are respected.</w:t>
      </w:r>
    </w:p>
    <w:bookmarkStart w:id="23" w:name="bill-of-materials-bom-for-xgximrxgkj"/>
    <w:p>
      <w:pPr>
        <w:pStyle w:val="Heading3"/>
      </w:pPr>
      <w:r>
        <w:t xml:space="preserve">2.1 Bill of Materials (BOM) for xgximrxgkj</w:t>
      </w:r>
    </w:p>
    <w:p>
      <w:pPr>
        <w:pStyle w:val="FirstParagraph"/>
      </w:pPr>
      <w:r>
        <w:t xml:space="preserve">The detailed Bill of Materials (BOM), specified as `dzetzggd`, is a crucial input for high-accuracy material impact calculation. The following table illustrates the structure and provides sample data following the specified format: ID, Description, Category, Process, Qty, Unit, Emission Factor (kg CO2e/unit), Total Carbon (kg CO2e). In a complete analysis, the exact values from `dzetzggd` would be parsed and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Alloy 6061</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MAT002</w:t>
            </w:r>
          </w:p>
        </w:tc>
        <w:tc>
          <w:tcPr/>
          <w:p>
            <w:pPr>
              <w:pStyle w:val="Compact"/>
              <w:jc w:val="left"/>
            </w:pPr>
            <w:r>
              <w:t xml:space="preserve">Polypropylene (PP)</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1.8</w:t>
            </w:r>
          </w:p>
        </w:tc>
        <w:tc>
          <w:tcPr/>
          <w:p>
            <w:pPr>
              <w:pStyle w:val="Compact"/>
              <w:jc w:val="left"/>
            </w:pPr>
            <w:r>
              <w:t xml:space="preserve">4.5</w:t>
            </w:r>
          </w:p>
        </w:tc>
      </w:tr>
      <w:tr>
        <w:tc>
          <w:tcPr/>
          <w:p>
            <w:pPr>
              <w:pStyle w:val="Compact"/>
              <w:jc w:val="left"/>
            </w:pPr>
            <w:r>
              <w:t xml:space="preserve">MAT003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MAT005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Paper Pulping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0.35</w:t>
            </w:r>
          </w:p>
        </w:tc>
      </w:tr>
      <w:tr>
        <w:tc>
          <w:tcPr/>
          <w:p>
            <w:pPr>
              <w:pStyle w:val="Compact"/>
              <w:jc w:val="left"/>
            </w:pPr>
            <w:r>
              <w:t xml:space="preserve">MAT006</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Cell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w:t>
            </w:r>
          </w:p>
        </w:tc>
      </w:tr>
    </w:tbl>
    <w:p>
      <w:pPr>
        <w:pStyle w:val="BodyText"/>
      </w:pPr>
      <w:r>
        <w:rPr>
          <w:iCs/>
          <w:i/>
        </w:rPr>
        <w:t xml:space="preserve">Note: The "Total Carbon" value for each item is calculated as Qty * Emission Factor. For a real assessment, the specific numerical values of Emission Factor and Total Carbon provided within the `dzetzggd` string would be used directly.</w:t>
      </w:r>
    </w:p>
    <w:bookmarkEnd w:id="23"/>
    <w:bookmarkStart w:id="24" w:name="production-phase-data-factory-gate"/>
    <w:p>
      <w:pPr>
        <w:pStyle w:val="Heading3"/>
      </w:pPr>
      <w:r>
        <w:t xml:space="preserve">2.2 Production Phase Data (Factory Gate)</w:t>
      </w:r>
    </w:p>
    <w:p>
      <w:pPr>
        <w:numPr>
          <w:ilvl w:val="0"/>
          <w:numId w:val="1003"/>
        </w:numPr>
        <w:pStyle w:val="Compact"/>
      </w:pPr>
      <w:r>
        <w:rPr>
          <w:bCs/>
          <w:b/>
        </w:rPr>
        <w:t xml:space="preserve">Company Name:</w:t>
      </w:r>
      <w:r>
        <w:t xml:space="preserve"> </w:t>
      </w:r>
      <w:r>
        <w:t xml:space="preserve">ojttklhwez</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Renewable Energy Usage:</w:t>
      </w:r>
      <w:r>
        <w:t xml:space="preserve"> </w:t>
      </w:r>
      <w:r>
        <w:rPr>
          <w:bCs/>
          <w:b/>
        </w:rPr>
        <w:t xml:space="preserve">txlltirqdl</w:t>
      </w:r>
      <w:r>
        <w:t xml:space="preserve"> </w:t>
      </w:r>
      <w:r>
        <w:t xml:space="preserve">(e.g., for calculations, we will assume a value such as 70% renewable energy use at the facility, interpreting \'txlltirqdl\' as a percentage or data point on renewable energy share).</w:t>
      </w:r>
    </w:p>
    <w:p>
      <w:pPr>
        <w:numPr>
          <w:ilvl w:val="0"/>
          <w:numId w:val="1003"/>
        </w:numPr>
        <w:pStyle w:val="Compact"/>
      </w:pPr>
      <w:r>
        <w:rPr>
          <w:bCs/>
          <w:b/>
        </w:rPr>
        <w:t xml:space="preserve">Energy Intensity (kWh/unit):</w:t>
      </w:r>
      <w:r>
        <w:t xml:space="preserve"> </w:t>
      </w:r>
      <w:r>
        <w:rPr>
          <w:bCs/>
          <w:b/>
        </w:rPr>
        <w:t xml:space="preserve">rqdlhzxudo</w:t>
      </w:r>
      <w:r>
        <w:t xml:space="preserve"> </w:t>
      </w:r>
      <w:r>
        <w:t xml:space="preserve">(e.g., for calculations, we will assume 15 kWh per unit, interpreting \'rqdlhzxudo\' as the total electrical energy consumed per product unit).</w:t>
      </w:r>
    </w:p>
    <w:p>
      <w:pPr>
        <w:pStyle w:val="FirstParagraph"/>
      </w:pPr>
      <w:r>
        <w:rPr>
          <w:iCs/>
          <w:i/>
        </w:rPr>
        <w:t xml:space="preserve">Note: Illustrative emission factors for the Chinese national grid (e.g., 0.6 kg CO2e/kWh) will be used and adjusted by the assumed renewable energy usage for calculating Scope 2 emissions.</w:t>
      </w:r>
    </w:p>
    <w:bookmarkEnd w:id="24"/>
    <w:bookmarkStart w:id="25" w:name="Xfac847faf3e94a4f3439f4bd7502c9c019771b4"/>
    <w:p>
      <w:pPr>
        <w:pStyle w:val="Heading3"/>
      </w:pPr>
      <w:r>
        <w:t xml:space="preserve">2.3 Transport and Logistics Data (Supply Chain Focus: Europe Focused)</w:t>
      </w:r>
    </w:p>
    <w:p>
      <w:pPr>
        <w:numPr>
          <w:ilvl w:val="0"/>
          <w:numId w:val="1004"/>
        </w:numPr>
        <w:pStyle w:val="Compact"/>
      </w:pPr>
      <w:r>
        <w:rPr>
          <w:bCs/>
          <w:b/>
        </w:rPr>
        <w:t xml:space="preserve">Transport Mode (Inbound Logistics):</w:t>
      </w:r>
      <w:r>
        <w:t xml:space="preserve"> </w:t>
      </w:r>
      <w:r>
        <w:rPr>
          <w:bCs/>
          <w:b/>
        </w:rPr>
        <w:t xml:space="preserve">Select Mode</w:t>
      </w:r>
      <w:r>
        <w:t xml:space="preserve"> </w:t>
      </w:r>
      <w:r>
        <w:t xml:space="preserve">(e.g., for calculations, we will assume a mix of Sea Freight for international bulk transport and Road Freight for regional distribution, as \'Select Mode\' would represent the chosen transport method).</w:t>
      </w:r>
    </w:p>
    <w:p>
      <w:pPr>
        <w:numPr>
          <w:ilvl w:val="0"/>
          <w:numId w:val="1004"/>
        </w:numPr>
        <w:pStyle w:val="Compact"/>
      </w:pPr>
      <w:r>
        <w:rPr>
          <w:bCs/>
          <w:b/>
        </w:rPr>
        <w:t xml:space="preserve">Transport Distance (Inbound Logistics):</w:t>
      </w:r>
      <w:r>
        <w:t xml:space="preserve"> </w:t>
      </w:r>
      <w:r>
        <w:rPr>
          <w:bCs/>
          <w:b/>
        </w:rPr>
        <w:t xml:space="preserve">wzmuftdjmw</w:t>
      </w:r>
      <w:r>
        <w:t xml:space="preserve"> </w:t>
      </w:r>
      <w:r>
        <w:t xml:space="preserve">(e.g., for calculations, we will assume 15,000 km by sea and 500 km by road, representing the \'wzmuftdjmw\' total distance).</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(e.g., for calculations, we will assume Parcel Service, as \'Delivery Type\' indicates the final distribution method).</w:t>
      </w:r>
    </w:p>
    <w:p>
      <w:pPr>
        <w:pStyle w:val="FirstParagraph"/>
      </w:pPr>
      <w:r>
        <w:rPr>
          <w:iCs/>
          <w:i/>
        </w:rPr>
        <w:t xml:space="preserve">Note: Illustrative industry-standard emission factors for different transport modes (e.g., kg CO2e/tonne-km) will be used for calculation, referencing sources like Ecoinvent or DEFRA for typical values.</w:t>
      </w:r>
    </w:p>
    <w:bookmarkEnd w:id="25"/>
    <w:bookmarkStart w:id="26" w:name="use-phase-data"/>
    <w:p>
      <w:pPr>
        <w:pStyle w:val="Heading3"/>
      </w:pPr>
      <w:r>
        <w:t xml:space="preserve">2.4 Use Phase Data</w:t>
      </w:r>
    </w:p>
    <w:p>
      <w:pPr>
        <w:numPr>
          <w:ilvl w:val="0"/>
          <w:numId w:val="1005"/>
        </w:numPr>
        <w:pStyle w:val="Compact"/>
      </w:pPr>
      <w:r>
        <w:rPr>
          <w:bCs/>
          <w:b/>
        </w:rPr>
        <w:t xml:space="preserve">Product Lifespan:</w:t>
      </w:r>
      <w:r>
        <w:t xml:space="preserve"> </w:t>
      </w:r>
      <w:r>
        <w:rPr>
          <w:bCs/>
          <w:b/>
        </w:rPr>
        <w:t xml:space="preserve">erwrtmyxqx</w:t>
      </w:r>
      <w:r>
        <w:t xml:space="preserve"> </w:t>
      </w:r>
      <w:r>
        <w:t xml:space="preserve">(e.g., for calculations, we will assume a 5-year product lifespan, interpreting \'erwrtmyxqx\' as the expected functional duration).</w:t>
      </w:r>
    </w:p>
    <w:p>
      <w:pPr>
        <w:numPr>
          <w:ilvl w:val="0"/>
          <w:numId w:val="1005"/>
        </w:numPr>
        <w:pStyle w:val="Compact"/>
      </w:pPr>
      <w:r>
        <w:rPr>
          <w:bCs/>
          <w:b/>
        </w:rPr>
        <w:t xml:space="preserve">Energy Consumption in Use:</w:t>
      </w:r>
      <w:r>
        <w:t xml:space="preserve"> </w:t>
      </w:r>
      <w:r>
        <w:rPr>
          <w:bCs/>
          <w:b/>
        </w:rPr>
        <w:t xml:space="preserve">wdtikilrkp</w:t>
      </w:r>
      <w:r>
        <w:t xml:space="preserve"> </w:t>
      </w:r>
      <w:r>
        <w:t xml:space="preserve">(e.g., for calculations, we will assume 10 kWh per year, interpreting \'wdtikilrkp\' as the annual energy consumption of the product during its active use).</w:t>
      </w:r>
    </w:p>
    <w:p>
      <w:pPr>
        <w:pStyle w:val="FirstParagraph"/>
      </w:pPr>
      <w:r>
        <w:rPr>
          <w:iCs/>
          <w:i/>
        </w:rPr>
        <w:t xml:space="preserve">Note: An illustrative average grid emission factor for Europe (e.g., 0.3 kg CO2e/kWh) will be used for calculating use phase emissions, considering the "Europe Focused" supply chain context.</w:t>
      </w:r>
    </w:p>
    <w:bookmarkEnd w:id="26"/>
    <w:bookmarkStart w:id="27" w:name="end-of-life-eol-data"/>
    <w:p>
      <w:pPr>
        <w:pStyle w:val="Heading3"/>
      </w:pPr>
      <w:r>
        <w:t xml:space="preserve">2.5 End-of-Life (EoL) Data</w:t>
      </w:r>
    </w:p>
    <w:p>
      <w:pPr>
        <w:numPr>
          <w:ilvl w:val="0"/>
          <w:numId w:val="1006"/>
        </w:numPr>
        <w:pStyle w:val="Compact"/>
      </w:pPr>
      <w:r>
        <w:rPr>
          <w:bCs/>
          <w:b/>
        </w:rPr>
        <w:t xml:space="preserve">Recyclability Percentage:</w:t>
      </w:r>
      <w:r>
        <w:t xml:space="preserve"> </w:t>
      </w:r>
      <w:r>
        <w:rPr>
          <w:bCs/>
          <w:b/>
        </w:rPr>
        <w:t xml:space="preserve">vexeklsqgp</w:t>
      </w:r>
      <w:r>
        <w:t xml:space="preserve"> </w:t>
      </w:r>
      <w:r>
        <w:t xml:space="preserve">(e.g., for calculations, we will assume 60% recyclability, interpreting \'vexeklsqgp\' as the proportion of the product that is technically and practically recyclable).</w:t>
      </w:r>
    </w:p>
    <w:p>
      <w:pPr>
        <w:numPr>
          <w:ilvl w:val="0"/>
          <w:numId w:val="1006"/>
        </w:numPr>
        <w:pStyle w:val="Compact"/>
      </w:pPr>
      <w:r>
        <w:rPr>
          <w:bCs/>
          <w:b/>
        </w:rPr>
        <w:t xml:space="preserve">Circular/Take-back Programs:</w:t>
      </w:r>
      <w:r>
        <w:t xml:space="preserve"> </w:t>
      </w:r>
      <w:r>
        <w:rPr>
          <w:bCs/>
          <w:b/>
        </w:rPr>
        <w:t xml:space="preserve">phdejjerde</w:t>
      </w:r>
      <w:r>
        <w:t xml:space="preserve"> </w:t>
      </w:r>
      <w:r>
        <w:t xml:space="preserve">(e.g., for calculations, we will assume the existence of effective circular programs, interpreted from \'phdejjerde\', resulting in a 5% material recovery credit on initial material emissions).</w:t>
      </w:r>
    </w:p>
    <w:p>
      <w:pPr>
        <w:pStyle w:val="FirstParagraph"/>
      </w:pPr>
      <w:r>
        <w:rPr>
          <w:iCs/>
          <w:i/>
        </w:rPr>
        <w:t xml:space="preserve">Note: Emissions from disposal (e.g., landfill, incineration) and credits for recycling or avoided virgin material production will be calculated based on the recyclability percentage and the impact of circular programs, using illustrative EoL factors.</w:t>
      </w:r>
    </w:p>
    <w:p>
      <w:r>
        <w:pict>
          <v:rect style="width:0;height:1.5pt" o:hralign="center" o:hrstd="t" o:hr="t"/>
        </w:pict>
      </w:r>
    </w:p>
    <w:bookmarkEnd w:id="27"/>
    <w:bookmarkEnd w:id="28"/>
    <w:bookmarkStart w:id="38" w:name="calculate-emissions"/>
    <w:p>
      <w:pPr>
        <w:pStyle w:val="Heading2"/>
      </w:pPr>
      <w:r>
        <w:t xml:space="preserve">4. Calculate Emissions</w:t>
      </w:r>
    </w:p>
    <w:p>
      <w:pPr>
        <w:pStyle w:val="FirstParagraph"/>
      </w:pPr>
      <w:r>
        <w:t xml:space="preserve">The calculation of emissions is performed by multiplying activity data by relevant emission factors. This section details the methodology for each lifecycle stage and categorizes them according to the GHG Protocol\'s Scope 1, 2, and 3 definitions. The 2026 LSR Update for land use and carbon removals is acknowledged as a critical aspect of modern GHG accounting, though specific land use change data for \'xgximrxgkj\' is not provided in the parameters. Scope 3 compliance is a critical focus, with efforts to ensure at least 95% coverage as per 2026 requirements, necessitating a thorough assessment of the value chain.</w:t>
      </w:r>
    </w:p>
    <w:bookmarkStart w:id="29" w:name="scope-1-emissions-direct-emissions"/>
    <w:p>
      <w:pPr>
        <w:pStyle w:val="Heading3"/>
      </w:pPr>
      <w:r>
        <w:t xml:space="preserve">4.1 Scope 1 Emissions (Direct Emissions)</w:t>
      </w:r>
    </w:p>
    <w:p>
      <w:pPr>
        <w:pStyle w:val="FirstParagraph"/>
      </w:pPr>
      <w:r>
        <w:t xml:space="preserve">For \'ojttklhwez\', Scope 1 emissions primarily encompass direct greenhouse gas emissions from sources owned or controlled by the company during the manufacturing process of \'xgximrxgkj\'. This would typically include on-site fuel combustion for heating, process energy, or company-owned vehicle fleets. Based on the provided parameters, specific numerical data for direct on-site combustion unique to the product \'xgximrxgkj\' is not specified. Therefore, for this illustrative report, direct manufacturing emissions for this specific product are considered minimal or integrated into broader facility-level Scope 1 reporting.</w:t>
      </w:r>
    </w:p>
    <w:p>
      <w:pPr>
        <w:pStyle w:val="BodyText"/>
      </w:pPr>
      <w:r>
        <w:rPr>
          <w:bCs/>
          <w:b/>
        </w:rPr>
        <w:t xml:space="preserve">Estimated Scope 1 PCF Contribution:</w:t>
      </w:r>
      <w:r>
        <w:t xml:space="preserve"> </w:t>
      </w:r>
      <w:r>
        <w:t xml:space="preserve">0.0 kg CO2e/unit (Illustrative, pending specific direct emissions data for xgximrxgkj).</w:t>
      </w:r>
    </w:p>
    <w:bookmarkEnd w:id="29"/>
    <w:bookmarkStart w:id="30"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steam, heating, and cooling consumed by \'ojttklhwez\' for the production of \'xgximrxgkj\' in China.</w:t>
      </w:r>
    </w:p>
    <w:p>
      <w:pPr>
        <w:numPr>
          <w:ilvl w:val="0"/>
          <w:numId w:val="1007"/>
        </w:numPr>
        <w:pStyle w:val="Compact"/>
      </w:pPr>
      <w:r>
        <w:rPr>
          <w:bCs/>
          <w:b/>
        </w:rPr>
        <w:t xml:space="preserve">Energy Intensity (kWh/unit):</w:t>
      </w:r>
      <w:r>
        <w:t xml:space="preserve"> </w:t>
      </w:r>
      <w:r>
        <w:t xml:space="preserve">We interpret `rqdlhzxudo` as 15 kWh/unit (illustrative).</w:t>
      </w:r>
    </w:p>
    <w:p>
      <w:pPr>
        <w:numPr>
          <w:ilvl w:val="0"/>
          <w:numId w:val="1007"/>
        </w:numPr>
        <w:pStyle w:val="Compact"/>
      </w:pPr>
      <w:r>
        <w:rPr>
          <w:bCs/>
          <w:b/>
        </w:rPr>
        <w:t xml:space="preserve">Renewable Energy Usage:</w:t>
      </w:r>
      <w:r>
        <w:t xml:space="preserve"> </w:t>
      </w:r>
      <w:r>
        <w:t xml:space="preserve">We interpret `txlltirqdl` as 70% renewable (illustrative).</w:t>
      </w:r>
    </w:p>
    <w:p>
      <w:pPr>
        <w:numPr>
          <w:ilvl w:val="0"/>
          <w:numId w:val="1007"/>
        </w:numPr>
        <w:pStyle w:val="Compact"/>
      </w:pPr>
      <w:r>
        <w:rPr>
          <w:bCs/>
          <w:b/>
        </w:rPr>
        <w:t xml:space="preserve">Final Production Country:</w:t>
      </w:r>
      <w:r>
        <w:t xml:space="preserve"> </w:t>
      </w:r>
      <w:r>
        <w:t xml:space="preserve">China. We use an illustrative average grid emission factor for China of 0.6 kg CO2e/kWh (e.g., from IEA or national statistics).</w:t>
      </w:r>
    </w:p>
    <w:p>
      <w:pPr>
        <w:pStyle w:val="FirstParagraph"/>
      </w:pPr>
      <w:r>
        <w:rPr>
          <w:bCs/>
          <w:b/>
        </w:rPr>
        <w:t xml:space="preserve">Illustrative Calculation for Scope 2:</w:t>
      </w:r>
      <w:r>
        <w:br/>
      </w:r>
      <w:r>
        <w:t xml:space="preserve">Non-renewable electricity share = 100% - 70% = 30%</w:t>
      </w:r>
      <w:r>
        <w:br/>
      </w:r>
      <w:r>
        <w:t xml:space="preserve">Effective grid energy consumption = 15 kWh/unit * 0.30 = 4.5 kWh/unit</w:t>
      </w:r>
      <w:r>
        <w:br/>
      </w:r>
      <w:r>
        <w:t xml:space="preserve">Scope 2 Emissions = 4.5 kWh/unit * 0.6 kg CO2e/kWh = 2.7 kg CO2e/unit</w:t>
      </w:r>
    </w:p>
    <w:p>
      <w:pPr>
        <w:pStyle w:val="BodyText"/>
      </w:pPr>
      <w:r>
        <w:rPr>
          <w:bCs/>
          <w:b/>
        </w:rPr>
        <w:t xml:space="preserve">Estimated Scope 2 PCF Contribution:</w:t>
      </w:r>
      <w:r>
        <w:t xml:space="preserve"> </w:t>
      </w:r>
      <w:r>
        <w:t xml:space="preserve">2.7 kg CO2e/unit (Illustrative).</w:t>
      </w:r>
    </w:p>
    <w:bookmarkEnd w:id="30"/>
    <w:bookmarkStart w:id="36" w:name="scope-3-emissions-value-chain-emissions"/>
    <w:p>
      <w:pPr>
        <w:pStyle w:val="Heading3"/>
      </w:pPr>
      <w:r>
        <w:t xml:space="preserve">4.3 Scope 3 Emissions (Value Chain Emissions)</w:t>
      </w:r>
    </w:p>
    <w:p>
      <w:pPr>
        <w:pStyle w:val="FirstParagraph"/>
      </w:pPr>
      <w:r>
        <w:t xml:space="preserve">Scope 3 emissions cover all other indirect emissions that occur in the value chain of \'ojttklhwez\' for \'xgximrxgkj\'. This typically represents the largest portion of a product\'s footprint. Our aim is to achieve at least 95% coverage as per 2026 GHG Protocol requirements.</w:t>
      </w:r>
    </w:p>
    <w:bookmarkStart w:id="31" w:name="Xab9729a0caae076ca89f2f71668734f92723cf2"/>
    <w:p>
      <w:pPr>
        <w:pStyle w:val="Heading4"/>
      </w:pPr>
      <w:r>
        <w:t xml:space="preserve">4.3.1 Category 1: Purchased Goods and Services (Materials)</w:t>
      </w:r>
    </w:p>
    <w:p>
      <w:pPr>
        <w:pStyle w:val="FirstParagraph"/>
      </w:pPr>
      <w:r>
        <w:t xml:space="preserve">These emissions arise from the extraction, production, and transportation of raw materials and components upstream of \'ojttklhwez\'s manufacturing process, as itemized in the Bill of Materials (BOM).</w:t>
      </w:r>
    </w:p>
    <w:p>
      <w:pPr>
        <w:pStyle w:val="BodyText"/>
      </w:pPr>
      <w:r>
        <w:rPr>
          <w:bCs/>
          <w:b/>
        </w:rPr>
        <w:t xml:space="preserve">Illustrative Calculation for Materials (Based on Sample BOM):</w:t>
      </w:r>
    </w:p>
    <w:p>
      <w:pPr>
        <w:numPr>
          <w:ilvl w:val="0"/>
          <w:numId w:val="1008"/>
        </w:numPr>
        <w:pStyle w:val="Compact"/>
      </w:pPr>
      <w:r>
        <w:t xml:space="preserve">Aluminium Alloy: 60.0 kg CO2e</w:t>
      </w:r>
    </w:p>
    <w:p>
      <w:pPr>
        <w:numPr>
          <w:ilvl w:val="0"/>
          <w:numId w:val="1008"/>
        </w:numPr>
        <w:pStyle w:val="Compact"/>
      </w:pPr>
      <w:r>
        <w:t xml:space="preserve">Polypropylene (PP): 4.5 kg CO2e</w:t>
      </w:r>
    </w:p>
    <w:p>
      <w:pPr>
        <w:numPr>
          <w:ilvl w:val="0"/>
          <w:numId w:val="1008"/>
        </w:numPr>
        <w:pStyle w:val="Compact"/>
      </w:pPr>
      <w:r>
        <w:t xml:space="preserve">Silicon Wafer: 5.0 kg CO2e</w:t>
      </w:r>
    </w:p>
    <w:p>
      <w:pPr>
        <w:numPr>
          <w:ilvl w:val="0"/>
          <w:numId w:val="1008"/>
        </w:numPr>
        <w:pStyle w:val="Compact"/>
      </w:pPr>
      <w:r>
        <w:t xml:space="preserve">Copper Wire: 2.8 kg CO2e</w:t>
      </w:r>
    </w:p>
    <w:p>
      <w:pPr>
        <w:numPr>
          <w:ilvl w:val="0"/>
          <w:numId w:val="1008"/>
        </w:numPr>
        <w:pStyle w:val="Compact"/>
      </w:pPr>
      <w:r>
        <w:t xml:space="preserve">Cardboard Packaging: 0.35 kg CO2e</w:t>
      </w:r>
    </w:p>
    <w:p>
      <w:pPr>
        <w:numPr>
          <w:ilvl w:val="0"/>
          <w:numId w:val="1008"/>
        </w:numPr>
        <w:pStyle w:val="Compact"/>
      </w:pPr>
      <w:r>
        <w:t xml:space="preserve">Lithium-ion Battery: 5.0 kg CO2e</w:t>
      </w:r>
    </w:p>
    <w:p>
      <w:pPr>
        <w:pStyle w:val="FirstParagraph"/>
      </w:pPr>
      <w:r>
        <w:rPr>
          <w:bCs/>
          <w:b/>
        </w:rPr>
        <w:t xml:space="preserve">Total Material Emissions (Illustrative):</w:t>
      </w:r>
      <w:r>
        <w:t xml:space="preserve"> </w:t>
      </w:r>
      <w:r>
        <w:t xml:space="preserve">60.0 + 4.5 + 5.0 + 2.8 + 0.35 + 5.0 = 77.65 kg CO2e/unit</w:t>
      </w:r>
    </w:p>
    <w:p>
      <w:pPr>
        <w:pStyle w:val="BodyText"/>
      </w:pPr>
      <w:r>
        <w:rPr>
          <w:bCs/>
          <w:b/>
        </w:rPr>
        <w:t xml:space="preserve">Estimated Scope 3 (Materials) PCF Contribution:</w:t>
      </w:r>
      <w:r>
        <w:t xml:space="preserve"> </w:t>
      </w:r>
      <w:r>
        <w:t xml:space="preserve">77.65 kg CO2e/unit (Illustrative, based on sample BOM data consistent with `dzetzggd` format).</w:t>
      </w:r>
    </w:p>
    <w:bookmarkEnd w:id="31"/>
    <w:bookmarkStart w:id="32"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from suppliers to the \'ojttklhwez\' factory in China, with a supply chain focus on Europe.</w:t>
      </w:r>
    </w:p>
    <w:p>
      <w:pPr>
        <w:numPr>
          <w:ilvl w:val="0"/>
          <w:numId w:val="1009"/>
        </w:numPr>
        <w:pStyle w:val="Compact"/>
      </w:pPr>
      <w:r>
        <w:rPr>
          <w:bCs/>
          <w:b/>
        </w:rPr>
        <w:t xml:space="preserve">Transport Mode:</w:t>
      </w:r>
      <w:r>
        <w:t xml:space="preserve"> </w:t>
      </w:r>
      <w:r>
        <w:t xml:space="preserve">We interpret `Select Mode` as primarily Sea Freight for bulk international transport and Road Freight for local European collection/final leg (illustrative).</w:t>
      </w:r>
    </w:p>
    <w:p>
      <w:pPr>
        <w:numPr>
          <w:ilvl w:val="0"/>
          <w:numId w:val="1009"/>
        </w:numPr>
        <w:pStyle w:val="Compact"/>
      </w:pPr>
      <w:r>
        <w:rPr>
          <w:bCs/>
          <w:b/>
        </w:rPr>
        <w:t xml:space="preserve">Transport Distance:</w:t>
      </w:r>
      <w:r>
        <w:t xml:space="preserve"> </w:t>
      </w:r>
      <w:r>
        <w:t xml:space="preserve">We interpret `wzmuftdjmw` as 15,000 km (Sea) and 500 km (Road) (illustrative).</w:t>
      </w:r>
    </w:p>
    <w:p>
      <w:pPr>
        <w:numPr>
          <w:ilvl w:val="0"/>
          <w:numId w:val="1009"/>
        </w:numPr>
        <w:pStyle w:val="Compact"/>
      </w:pPr>
      <w:r>
        <w:rPr>
          <w:bCs/>
          <w:b/>
        </w:rPr>
        <w:t xml:space="preserve">Illustrative Total Product Component Weight:</w:t>
      </w:r>
      <w:r>
        <w:t xml:space="preserve"> </w:t>
      </w:r>
      <w:r>
        <w:t xml:space="preserve">Sum of quantities from sample BOM = 5.0 + 2.5 + 0.1 + 0.8 + 0.5 + 0.2 = 9.1 kg.</w:t>
      </w:r>
    </w:p>
    <w:p>
      <w:pPr>
        <w:pStyle w:val="FirstParagraph"/>
      </w:pPr>
      <w:r>
        <w:rPr>
          <w:bCs/>
          <w:b/>
        </w:rPr>
        <w:t xml:space="preserve">Illustrative Emission Factors (from typical industry data like Ecoinvent/DEFRA):</w:t>
      </w:r>
      <w:r>
        <w:br/>
      </w:r>
      <w:r>
        <w:t xml:space="preserve">Sea Freight (General Cargo Ship): 0.01 kg CO2e/tonne-km</w:t>
      </w:r>
      <w:r>
        <w:br/>
      </w:r>
      <w:r>
        <w:t xml:space="preserve">Road Freight (Heavy Duty Truck): 0.08 kg CO2e/tonne-km</w:t>
      </w:r>
    </w:p>
    <w:p>
      <w:pPr>
        <w:pStyle w:val="BodyText"/>
      </w:pPr>
      <w:r>
        <w:rPr>
          <w:bCs/>
          <w:b/>
        </w:rPr>
        <w:t xml:space="preserve">Illustrative Calculation:</w:t>
      </w:r>
      <w:r>
        <w:br/>
      </w:r>
      <w:r>
        <w:t xml:space="preserve">Sea Freight Emissions = (9.1 kg / 1000 kg/tonne) * 15,000 km * 0.01 kg CO2e/tonne-km = 1.365 kg CO2e</w:t>
      </w:r>
      <w:r>
        <w:br/>
      </w:r>
      <w:r>
        <w:t xml:space="preserve">Road Freight Emissions = (9.1 kg / 1000 kg/tonne) * 500 km * 0.08 kg CO2e/tonne-km = 0.364 kg CO2e</w:t>
      </w:r>
      <w:r>
        <w:br/>
      </w:r>
      <w:r>
        <w:t xml:space="preserve">Total Upstream Transport Emissions = 1.365 + 0.364 = 1.729 kg CO2e/unit</w:t>
      </w:r>
    </w:p>
    <w:p>
      <w:pPr>
        <w:pStyle w:val="BodyText"/>
      </w:pPr>
      <w:r>
        <w:rPr>
          <w:bCs/>
          <w:b/>
        </w:rPr>
        <w:t xml:space="preserve">Estimated Scope 3 (Upstream Transport) PCF Contribution:</w:t>
      </w:r>
      <w:r>
        <w:t xml:space="preserve"> </w:t>
      </w:r>
      <w:r>
        <w:t xml:space="preserve">1.73 kg CO2e/unit (Illustrative).</w:t>
      </w:r>
    </w:p>
    <w:bookmarkEnd w:id="32"/>
    <w:bookmarkStart w:id="33"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\'xgximrxgkj\' from the \'ojttklhwez\' factory gate to the end-consumer or retailer (Last-Mile Delivery Channel).</w:t>
      </w:r>
    </w:p>
    <w:p>
      <w:pPr>
        <w:numPr>
          <w:ilvl w:val="0"/>
          <w:numId w:val="1010"/>
        </w:numPr>
        <w:pStyle w:val="Compact"/>
      </w:pPr>
      <w:r>
        <w:rPr>
          <w:bCs/>
          <w:b/>
        </w:rPr>
        <w:t xml:space="preserve">Last-Mile Delivery Channel:</w:t>
      </w:r>
      <w:r>
        <w:t xml:space="preserve"> </w:t>
      </w:r>
      <w:r>
        <w:t xml:space="preserve">We interpret `Delivery Type` as Parcel Service (illustrative).</w:t>
      </w:r>
    </w:p>
    <w:p>
      <w:pPr>
        <w:numPr>
          <w:ilvl w:val="0"/>
          <w:numId w:val="1010"/>
        </w:numPr>
        <w:pStyle w:val="Compact"/>
      </w:pPr>
      <w:r>
        <w:rPr>
          <w:bCs/>
          <w:b/>
        </w:rPr>
        <w:t xml:space="preserve">Illustrative Downstream Delivery Distance:</w:t>
      </w:r>
      <w:r>
        <w:t xml:space="preserve"> </w:t>
      </w:r>
      <w:r>
        <w:t xml:space="preserve">200 km (average for parcel service).</w:t>
      </w:r>
    </w:p>
    <w:p>
      <w:pPr>
        <w:pStyle w:val="FirstParagraph"/>
      </w:pPr>
      <w:r>
        <w:rPr>
          <w:bCs/>
          <w:b/>
        </w:rPr>
        <w:t xml:space="preserve">Illustrative Emission Factor (Parcel Service van, typical for last-mile):</w:t>
      </w:r>
      <w:r>
        <w:t xml:space="preserve"> </w:t>
      </w:r>
      <w:r>
        <w:t xml:space="preserve">0.1 kg CO2e/tonne-km.</w:t>
      </w:r>
    </w:p>
    <w:p>
      <w:pPr>
        <w:pStyle w:val="BodyText"/>
      </w:pPr>
      <w:r>
        <w:rPr>
          <w:bCs/>
          <w:b/>
        </w:rPr>
        <w:t xml:space="preserve">Illustrative Calculation:</w:t>
      </w:r>
      <w:r>
        <w:br/>
      </w:r>
      <w:r>
        <w:t xml:space="preserve">Downstream Transport Emissions = (9.1 kg / 1000 kg/tonne) * 200 km * 0.1 kg CO2e/tonne-km = 0.182 kg CO2e/unit</w:t>
      </w:r>
    </w:p>
    <w:p>
      <w:pPr>
        <w:pStyle w:val="BodyText"/>
      </w:pPr>
      <w:r>
        <w:rPr>
          <w:bCs/>
          <w:b/>
        </w:rPr>
        <w:t xml:space="preserve">Estimated Scope 3 (Downstream Transport) PCF Contribution:</w:t>
      </w:r>
      <w:r>
        <w:t xml:space="preserve"> </w:t>
      </w:r>
      <w:r>
        <w:t xml:space="preserve">0.18 kg CO2e/unit (Illustrative).</w:t>
      </w:r>
    </w:p>
    <w:bookmarkEnd w:id="33"/>
    <w:bookmarkStart w:id="34" w:name="category-11-use-of-sold-products"/>
    <w:p>
      <w:pPr>
        <w:pStyle w:val="Heading4"/>
      </w:pPr>
      <w:r>
        <w:t xml:space="preserve">4.3.4 Category 11: Use of Sold Products</w:t>
      </w:r>
    </w:p>
    <w:p>
      <w:pPr>
        <w:pStyle w:val="FirstParagraph"/>
      </w:pPr>
      <w:r>
        <w:t xml:space="preserve">Emissions generated from the energy consumption of \'xgximrxgkj\' during its expected operational lifespan by the end-user.</w:t>
      </w:r>
    </w:p>
    <w:p>
      <w:pPr>
        <w:numPr>
          <w:ilvl w:val="0"/>
          <w:numId w:val="1011"/>
        </w:numPr>
        <w:pStyle w:val="Compact"/>
      </w:pPr>
      <w:r>
        <w:rPr>
          <w:bCs/>
          <w:b/>
        </w:rPr>
        <w:t xml:space="preserve">Product Lifespan:</w:t>
      </w:r>
      <w:r>
        <w:t xml:space="preserve"> </w:t>
      </w:r>
      <w:r>
        <w:t xml:space="preserve">We interpret `erwrtmyxqx` as 5 years (illustrative).</w:t>
      </w:r>
    </w:p>
    <w:p>
      <w:pPr>
        <w:numPr>
          <w:ilvl w:val="0"/>
          <w:numId w:val="1011"/>
        </w:numPr>
        <w:pStyle w:val="Compact"/>
      </w:pPr>
      <w:r>
        <w:rPr>
          <w:bCs/>
          <w:b/>
        </w:rPr>
        <w:t xml:space="preserve">Energy Consumption in Use:</w:t>
      </w:r>
      <w:r>
        <w:t xml:space="preserve"> </w:t>
      </w:r>
      <w:r>
        <w:t xml:space="preserve">We interpret `wdtikilrkp` as 10 kWh/year (illustrative).</w:t>
      </w:r>
    </w:p>
    <w:p>
      <w:pPr>
        <w:numPr>
          <w:ilvl w:val="0"/>
          <w:numId w:val="1011"/>
        </w:numPr>
        <w:pStyle w:val="Compact"/>
      </w:pPr>
      <w:r>
        <w:rPr>
          <w:bCs/>
          <w:b/>
        </w:rPr>
        <w:t xml:space="preserve">Illustrative Grid Emission Factor (Europe Focused):</w:t>
      </w:r>
      <w:r>
        <w:t xml:space="preserve"> </w:t>
      </w:r>
      <w:r>
        <w:t xml:space="preserve">0.3 kg CO2e/kWh (representing a typical European energy mix).</w:t>
      </w:r>
    </w:p>
    <w:p>
      <w:pPr>
        <w:pStyle w:val="FirstParagraph"/>
      </w:pPr>
      <w:r>
        <w:rPr>
          <w:bCs/>
          <w:b/>
        </w:rPr>
        <w:t xml:space="preserve">Illustrative Calculation:</w:t>
      </w:r>
      <w:r>
        <w:br/>
      </w:r>
      <w:r>
        <w:t xml:space="preserve">Total Energy Consumption in Use = 10 kWh/year * 5 years = 50 kWh/unit</w:t>
      </w:r>
      <w:r>
        <w:br/>
      </w:r>
      <w:r>
        <w:t xml:space="preserve">Use Phase Emissions = 50 kWh/unit * 0.3 kg CO2e/kWh = 15.0 kg CO2e/unit</w:t>
      </w:r>
    </w:p>
    <w:p>
      <w:pPr>
        <w:pStyle w:val="BodyText"/>
      </w:pPr>
      <w:r>
        <w:rPr>
          <w:bCs/>
          <w:b/>
        </w:rPr>
        <w:t xml:space="preserve">Estimated Scope 3 (Use Phase) PCF Contribution:</w:t>
      </w:r>
      <w:r>
        <w:t xml:space="preserve"> </w:t>
      </w:r>
      <w:r>
        <w:t xml:space="preserve">15.0 kg CO2e/unit (Illustrative).</w:t>
      </w:r>
    </w:p>
    <w:bookmarkEnd w:id="34"/>
    <w:bookmarkStart w:id="35" w:name="X9f66eef2700632e081dfe139021cb724ffcd2c5"/>
    <w:p>
      <w:pPr>
        <w:pStyle w:val="Heading4"/>
      </w:pPr>
      <w:r>
        <w:t xml:space="preserve">4.3.5 Category 12: End-of-Life Treatment of Sold Products</w:t>
      </w:r>
    </w:p>
    <w:p>
      <w:pPr>
        <w:pStyle w:val="FirstParagraph"/>
      </w:pPr>
      <w:r>
        <w:t xml:space="preserve">Emissions and potential avoided emissions (credits) associated with the disposal, recycling, and recovery processes of \'xgximrxgkj\' at the end of its useful life.</w:t>
      </w:r>
    </w:p>
    <w:p>
      <w:pPr>
        <w:numPr>
          <w:ilvl w:val="0"/>
          <w:numId w:val="1012"/>
        </w:numPr>
        <w:pStyle w:val="Compact"/>
      </w:pPr>
      <w:r>
        <w:rPr>
          <w:bCs/>
          <w:b/>
        </w:rPr>
        <w:t xml:space="preserve">Recyclability Percentage:</w:t>
      </w:r>
      <w:r>
        <w:t xml:space="preserve"> </w:t>
      </w:r>
      <w:r>
        <w:t xml:space="preserve">We interpret `vexeklsqgp` as 60% (illustrative).</w:t>
      </w:r>
    </w:p>
    <w:p>
      <w:pPr>
        <w:numPr>
          <w:ilvl w:val="0"/>
          <w:numId w:val="1012"/>
        </w:numPr>
        <w:pStyle w:val="Compact"/>
      </w:pPr>
      <w:r>
        <w:rPr>
          <w:bCs/>
          <w:b/>
        </w:rPr>
        <w:t xml:space="preserve">Circular/Take-back Programs:</w:t>
      </w:r>
      <w:r>
        <w:t xml:space="preserve"> </w:t>
      </w:r>
      <w:r>
        <w:t xml:space="preserve">We interpret `phdejjerde` as indicating the presence of effective circular programs (illustrative).</w:t>
      </w:r>
    </w:p>
    <w:p>
      <w:pPr>
        <w:numPr>
          <w:ilvl w:val="0"/>
          <w:numId w:val="1012"/>
        </w:numPr>
        <w:pStyle w:val="Compact"/>
      </w:pPr>
      <w:r>
        <w:rPr>
          <w:bCs/>
          <w:b/>
        </w:rPr>
        <w:t xml:space="preserve">Illustrative Total Product Weight:</w:t>
      </w:r>
      <w:r>
        <w:t xml:space="preserve"> </w:t>
      </w:r>
      <w:r>
        <w:t xml:space="preserve">9.1 kg.</w:t>
      </w:r>
    </w:p>
    <w:p>
      <w:pPr>
        <w:pStyle w:val="FirstParagraph"/>
      </w:pPr>
      <w:r>
        <w:rPr>
          <w:bCs/>
          <w:b/>
        </w:rPr>
        <w:t xml:space="preserve">Illustrative Emission Factors (from typical industry data):</w:t>
      </w:r>
      <w:r>
        <w:br/>
      </w:r>
      <w:r>
        <w:t xml:space="preserve">Landfill (average for mixed waste): 0.5 kg CO2e/kg</w:t>
      </w:r>
      <w:r>
        <w:br/>
      </w:r>
      <w:r>
        <w:t xml:space="preserve">Recycling (average credit for avoided virgin material): -1.0 kg CO2e/kg (credit for recovered materials)</w:t>
      </w:r>
    </w:p>
    <w:p>
      <w:pPr>
        <w:pStyle w:val="BodyText"/>
      </w:pPr>
      <w:r>
        <w:rPr>
          <w:bCs/>
          <w:b/>
        </w:rPr>
        <w:t xml:space="preserve">Illustrative Calculation:</w:t>
      </w:r>
      <w:r>
        <w:br/>
      </w:r>
      <w:r>
        <w:t xml:space="preserve">Weight to Landfill = 9.1 kg * (1 - 0.60) = 3.64 kg</w:t>
      </w:r>
      <w:r>
        <w:br/>
      </w:r>
      <w:r>
        <w:t xml:space="preserve">Weight Recycled = 9.1 kg * 0.60 = 5.46 kg</w:t>
      </w:r>
    </w:p>
    <w:p>
      <w:pPr>
        <w:pStyle w:val="BodyText"/>
      </w:pPr>
      <w:r>
        <w:t xml:space="preserve">Landfill Emissions = 3.64 kg * 0.5 kg CO2e/kg = 1.82 kg CO2e</w:t>
      </w:r>
      <w:r>
        <w:br/>
      </w:r>
      <w:r>
        <w:t xml:space="preserve">Recycling Credits = 5.46 kg * (-1.0 kg CO2e/kg) = -5.46 kg CO2e</w:t>
      </w:r>
    </w:p>
    <w:p>
      <w:pPr>
        <w:pStyle w:val="BodyText"/>
      </w:pPr>
      <w:r>
        <w:t xml:space="preserve">Net EoL Emissions before circular program credits = 1.82 - 5.46 = -3.64 kg CO2e/unit</w:t>
      </w:r>
    </w:p>
    <w:p>
      <w:pPr>
        <w:pStyle w:val="BodyText"/>
      </w:pPr>
      <w:r>
        <w:t xml:space="preserve">Given the presence of `phdejjerde` (circular/take-back programs), an additional credit for enhanced material recovery or extended product life is applied. For example, a 5% reduction on initial material emissions could be attributed to these programs.</w:t>
      </w:r>
    </w:p>
    <w:p>
      <w:pPr>
        <w:pStyle w:val="BodyText"/>
      </w:pPr>
      <w:r>
        <w:t xml:space="preserve">Illustrative material emissions (from 4.3.1) = 77.65 kg CO2e.</w:t>
      </w:r>
      <w:r>
        <w:br/>
      </w:r>
      <w:r>
        <w:t xml:space="preserve">Additional Take-back Program Credit = 77.65 kg CO2e * 0.05 = 3.88 kg CO2e (credit).</w:t>
      </w:r>
    </w:p>
    <w:p>
      <w:pPr>
        <w:pStyle w:val="BodyText"/>
      </w:pPr>
      <w:r>
        <w:t xml:space="preserve">Adjusted Net EoL Emissions = -3.64 kg CO2e - 3.88 kg CO2e = -7.52 kg CO2e/unit</w:t>
      </w:r>
    </w:p>
    <w:p>
      <w:pPr>
        <w:pStyle w:val="BodyText"/>
      </w:pPr>
      <w:r>
        <w:rPr>
          <w:bCs/>
          <w:b/>
        </w:rPr>
        <w:t xml:space="preserve">Estimated Scope 3 (End-of-Life) PCF Contribution:</w:t>
      </w:r>
      <w:r>
        <w:t xml:space="preserve"> </w:t>
      </w:r>
      <w:r>
        <w:t xml:space="preserve">-7.52 kg CO2e/unit (Illustrative, representing a net carbon benefit due to high recyclability and circular economy initiatives).</w:t>
      </w:r>
    </w:p>
    <w:bookmarkEnd w:id="35"/>
    <w:bookmarkEnd w:id="36"/>
    <w:bookmarkStart w:id="37" w:name="X6cb5e98fc5f672b90609cb3addd66567976155f"/>
    <w:p>
      <w:pPr>
        <w:pStyle w:val="Heading3"/>
      </w:pPr>
      <w:r>
        <w:t xml:space="preserve">4.4 Total Product Carbon Footprint (Illustrative Summary)</w:t>
      </w:r>
    </w:p>
    <w:p>
      <w:pPr>
        <w:pStyle w:val="FirstParagraph"/>
      </w:pPr>
      <w:r>
        <w:t xml:space="preserve">The following table summarizes the illustrative Product Carbon Footprint for one functional unit of \'xgximrxgkj\', broken down by GHG Protocol scopes and relevant categories.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Scope/Category</w:t>
            </w:r>
          </w:p>
        </w:tc>
        <w:tc>
          <w:tcPr/>
          <w:p>
            <w:pPr>
              <w:pStyle w:val="Compact"/>
              <w:jc w:val="left"/>
            </w:pPr>
            <w:r>
              <w:t xml:space="preserve">Estimated CO2e/unit (kg)</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2.70</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Materials (Category 1)</w:t>
            </w:r>
          </w:p>
        </w:tc>
        <w:tc>
          <w:tcPr/>
          <w:p>
            <w:pPr>
              <w:pStyle w:val="Compact"/>
              <w:jc w:val="left"/>
            </w:pPr>
            <w:r>
              <w:t xml:space="preserve">77.65</w:t>
            </w:r>
          </w:p>
        </w:tc>
      </w:tr>
      <w:tr>
        <w:tc>
          <w:tcPr/>
          <w:p>
            <w:pPr>
              <w:pStyle w:val="Compact"/>
              <w:jc w:val="left"/>
            </w:pPr>
            <w:r>
              <w:t xml:space="preserve">    Upstream Transport (Category 4)</w:t>
            </w:r>
          </w:p>
        </w:tc>
        <w:tc>
          <w:tcPr/>
          <w:p>
            <w:pPr>
              <w:pStyle w:val="Compact"/>
              <w:jc w:val="left"/>
            </w:pPr>
            <w:r>
              <w:t xml:space="preserve">1.73</w:t>
            </w:r>
          </w:p>
        </w:tc>
      </w:tr>
      <w:tr>
        <w:tc>
          <w:tcPr/>
          <w:p>
            <w:pPr>
              <w:pStyle w:val="Compact"/>
              <w:jc w:val="left"/>
            </w:pPr>
            <w:r>
              <w:t xml:space="preserve">    Downstream Transport (Category 9)</w:t>
            </w:r>
          </w:p>
        </w:tc>
        <w:tc>
          <w:tcPr/>
          <w:p>
            <w:pPr>
              <w:pStyle w:val="Compact"/>
              <w:jc w:val="left"/>
            </w:pPr>
            <w:r>
              <w:t xml:space="preserve">0.18</w:t>
            </w:r>
          </w:p>
        </w:tc>
      </w:tr>
      <w:tr>
        <w:tc>
          <w:tcPr/>
          <w:p>
            <w:pPr>
              <w:pStyle w:val="Compact"/>
              <w:jc w:val="left"/>
            </w:pPr>
            <w:r>
              <w:t xml:space="preserve">    Use of Sold Products (Category 11)</w:t>
            </w:r>
          </w:p>
        </w:tc>
        <w:tc>
          <w:tcPr/>
          <w:p>
            <w:pPr>
              <w:pStyle w:val="Compact"/>
              <w:jc w:val="left"/>
            </w:pPr>
            <w:r>
              <w:t xml:space="preserve">15.00</w:t>
            </w:r>
          </w:p>
        </w:tc>
      </w:tr>
      <w:tr>
        <w:tc>
          <w:tcPr/>
          <w:p>
            <w:pPr>
              <w:pStyle w:val="Compact"/>
              <w:jc w:val="left"/>
            </w:pPr>
            <w:r>
              <w:t xml:space="preserve">    End-of-Life (Category 12)</w:t>
            </w:r>
          </w:p>
        </w:tc>
        <w:tc>
          <w:tcPr/>
          <w:p>
            <w:pPr>
              <w:pStyle w:val="Compact"/>
              <w:jc w:val="left"/>
            </w:pPr>
            <w:r>
              <w:t xml:space="preserve">-7.52</w:t>
            </w:r>
          </w:p>
        </w:tc>
      </w:tr>
      <w:tr>
        <w:tc>
          <w:tcPr/>
          <w:p>
            <w:pPr>
              <w:pStyle w:val="Compact"/>
              <w:jc w:val="left"/>
            </w:pPr>
            <w:r>
              <w:rPr>
                <w:bCs/>
                <w:b/>
              </w:rPr>
              <w:t xml:space="preserve">TOTAL PRODUCT CARBON FOOTPRINT</w:t>
            </w:r>
          </w:p>
        </w:tc>
        <w:tc>
          <w:tcPr/>
          <w:p>
            <w:pPr>
              <w:pStyle w:val="Compact"/>
              <w:jc w:val="left"/>
            </w:pPr>
            <w:r>
              <w:rPr>
                <w:bCs/>
                <w:b/>
              </w:rPr>
              <w:t xml:space="preserve">89.74</w:t>
            </w:r>
          </w:p>
        </w:tc>
      </w:tr>
    </w:tbl>
    <w:p>
      <w:pPr>
        <w:pStyle w:val="BodyText"/>
      </w:pPr>
      <w:r>
        <w:rPr>
          <w:iCs/>
          <w:i/>
        </w:rPr>
        <w:t xml:space="preserve">Note: All numerical values and calculations in this section are illustrative, based on interpretations of the provided placeholder parameters and assumed emission factors from typical industry data (e.g., Ecoinvent/DEFRA). For a definitive assessment, specific, verified primary data and precise, regionalized emission factors would be utilized.</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This final stage involves a critical review of the PCF results, identification of emission hotspots, assessment of data reliability, and formulation of actionable recommendations for \'ojttklhwez\'.</w:t>
      </w:r>
    </w:p>
    <w:bookmarkStart w:id="39" w:name="hotspots-and-key-insights-illustrative"/>
    <w:p>
      <w:pPr>
        <w:pStyle w:val="Heading3"/>
      </w:pPr>
      <w:r>
        <w:t xml:space="preserve">5.1 Hotspots and Key Insights (Illustrative)</w:t>
      </w:r>
    </w:p>
    <w:p>
      <w:pPr>
        <w:pStyle w:val="FirstParagraph"/>
      </w:pPr>
      <w:r>
        <w:t xml:space="preserve">Based on the illustrative PCF analysis for \'xgximrxgkj\', the following key hotspots and insights emerge:</w:t>
      </w:r>
    </w:p>
    <w:p>
      <w:pPr>
        <w:numPr>
          <w:ilvl w:val="0"/>
          <w:numId w:val="1013"/>
        </w:numPr>
        <w:pStyle w:val="Compact"/>
      </w:pPr>
      <w:r>
        <w:rPr>
          <w:bCs/>
          <w:b/>
        </w:rPr>
        <w:t xml:space="preserve">Materials Dominance:</w:t>
      </w:r>
      <w:r>
        <w:t xml:space="preserve"> </w:t>
      </w:r>
      <w:r>
        <w:t xml:space="preserve">The "Purchased Goods and Services" (Materials) category represents the most significant contributor to the product\'s overall carbon footprint, accounting for approximately 86% of the gross emissions before considering end-of-life credits. This underscores the critical importance of upstream material choices and supplier emissions in the total impact.</w:t>
      </w:r>
    </w:p>
    <w:p>
      <w:pPr>
        <w:numPr>
          <w:ilvl w:val="0"/>
          <w:numId w:val="1013"/>
        </w:numPr>
        <w:pStyle w:val="Compact"/>
      </w:pPr>
      <w:r>
        <w:rPr>
          <w:bCs/>
          <w:b/>
        </w:rPr>
        <w:t xml:space="preserve">Use Phase Impact:</w:t>
      </w:r>
      <w:r>
        <w:t xml:space="preserve"> </w:t>
      </w:r>
      <w:r>
        <w:t xml:space="preserve">The "Use of Sold Products" category is also a substantial contributor, representing roughly 16% of gross emissions. This highlights the importance of energy efficiency during the product\'s operational lifetime, particularly in regions with higher carbon intensity grids.</w:t>
      </w:r>
    </w:p>
    <w:p>
      <w:pPr>
        <w:numPr>
          <w:ilvl w:val="0"/>
          <w:numId w:val="1013"/>
        </w:numPr>
        <w:pStyle w:val="Compact"/>
      </w:pPr>
      <w:r>
        <w:rPr>
          <w:bCs/>
          <w:b/>
        </w:rPr>
        <w:t xml:space="preserve">Circular Economy Benefits:</w:t>
      </w:r>
      <w:r>
        <w:t xml:space="preserve"> </w:t>
      </w:r>
      <w:r>
        <w:t xml:space="preserve">The negative (credit) contribution from "End-of-Life Treatment" due to high recyclability (`vexeklsqgp`) and robust circular/take-back programs (`phdejjerde`) demonstrates the significant potential for reducing the net carbon footprint through circular economy strategies. These initiatives effectively offset a portion of the product\'s upstream emissions.</w:t>
      </w:r>
    </w:p>
    <w:p>
      <w:pPr>
        <w:numPr>
          <w:ilvl w:val="0"/>
          <w:numId w:val="1013"/>
        </w:numPr>
        <w:pStyle w:val="Compact"/>
      </w:pPr>
      <w:r>
        <w:rPr>
          <w:bCs/>
          <w:b/>
        </w:rPr>
        <w:t xml:space="preserve">Transport Contribution:</w:t>
      </w:r>
      <w:r>
        <w:t xml:space="preserve"> </w:t>
      </w:r>
      <w:r>
        <w:t xml:space="preserve">Both upstream and downstream transportation, while essential, contribute a relatively smaller percentage to the overall footprint in this illustrative scenario, indicating that material and energy-related emissions are generally more impactful for \'xgximrxgkj\'.</w:t>
      </w:r>
    </w:p>
    <w:bookmarkEnd w:id="39"/>
    <w:bookmarkStart w:id="40" w:name="data-reliability-and-limitations"/>
    <w:p>
      <w:pPr>
        <w:pStyle w:val="Heading3"/>
      </w:pPr>
      <w:r>
        <w:t xml:space="preserve">5.2 Data Reliability and Limitations</w:t>
      </w:r>
    </w:p>
    <w:p>
      <w:pPr>
        <w:pStyle w:val="FirstParagraph"/>
      </w:pPr>
      <w:r>
        <w:t xml:space="preserve">The accuracy and reliability of this PCF analysis are directly contingent on the quality and completeness of the input data. As several key numerical parameters (e.g., `wzmuftdjmw`, `txlltirqdl`, `rqdlhzxudo`, `erwrtmyxqx`, `wdtikilrkp`, `vexeklsqgp`, `phdejjerde`) were provided as placeholder strings for this report, illustrative values and generic emission factors (e.g., from Ecoinvent/DEFRA) were used for calculations. While the methodology strictly adheres to the GHG Protocol Product Standard, a fully verified PCF would require the collection of precise, primary data for all identified lifecycle stages, including specific transport routes, actual energy mixes at manufacturing facilities, and detailed end-of-life recovery rates. The provided structure for the Detailed Bill of Materials (`dzetzggd`) is a strong foundation for accurate material calculations once populated with specific, verified data.</w:t>
      </w:r>
    </w:p>
    <w:bookmarkEnd w:id="40"/>
    <w:bookmarkStart w:id="41" w:name="recommendations-for-ojttklhwez"/>
    <w:p>
      <w:pPr>
        <w:pStyle w:val="Heading3"/>
      </w:pPr>
      <w:r>
        <w:t xml:space="preserve">5.3 Recommendations for ojttklhwez</w:t>
      </w:r>
    </w:p>
    <w:p>
      <w:pPr>
        <w:pStyle w:val="FirstParagraph"/>
      </w:pPr>
      <w:r>
        <w:t xml:space="preserve">To further reduce the Product Carbon Footprint of \'xgximrxgkj\' and enhance sustainability performance, \'ojttklhwez\' should consider the following recommendations:</w:t>
      </w:r>
    </w:p>
    <w:p>
      <w:pPr>
        <w:numPr>
          <w:ilvl w:val="0"/>
          <w:numId w:val="1014"/>
        </w:numPr>
        <w:pStyle w:val="Compact"/>
      </w:pPr>
      <w:r>
        <w:rPr>
          <w:bCs/>
          <w:b/>
        </w:rPr>
        <w:t xml:space="preserve">Material Decarbonization:</w:t>
      </w:r>
      <w:r>
        <w:t xml:space="preserve"> </w:t>
      </w:r>
      <w:r>
        <w:t xml:space="preserve">Prioritize sourcing lower-carbon alternative materials or increasing the recycled content within the product\'s Bill of Materials. Engage proactively with upstream suppliers (Europe Focused) to understand and reduce their manufacturing emissions.</w:t>
      </w:r>
    </w:p>
    <w:p>
      <w:pPr>
        <w:numPr>
          <w:ilvl w:val="0"/>
          <w:numId w:val="1014"/>
        </w:numPr>
        <w:pStyle w:val="Compact"/>
      </w:pPr>
      <w:r>
        <w:rPr>
          <w:bCs/>
          <w:b/>
        </w:rPr>
        <w:t xml:space="preserve">Manufacturing Energy Optimization:</w:t>
      </w:r>
      <w:r>
        <w:t xml:space="preserve"> </w:t>
      </w:r>
      <w:r>
        <w:t xml:space="preserve">Continuously invest in and implement energy efficiency measures at the China production facility. Further increasing the procurement of renewable energy (beyond the current `txlltirqdl`) will directly lead to significant reductions in Scope 2 emissions.</w:t>
      </w:r>
    </w:p>
    <w:p>
      <w:pPr>
        <w:numPr>
          <w:ilvl w:val="0"/>
          <w:numId w:val="1014"/>
        </w:numPr>
        <w:pStyle w:val="Compact"/>
      </w:pPr>
      <w:r>
        <w:rPr>
          <w:bCs/>
          <w:b/>
        </w:rPr>
        <w:t xml:space="preserve">Design for Durability and Efficiency:</w:t>
      </w:r>
      <w:r>
        <w:t xml:space="preserve"> </w:t>
      </w:r>
      <w:r>
        <w:t xml:space="preserve">Explore design innovations to extend the product\'s lifespan (`erwrtmyxqx`) and minimize energy consumption during the use phase (`wdtikilrkp`), thereby reducing significant Scope 3 impacts.</w:t>
      </w:r>
    </w:p>
    <w:p>
      <w:pPr>
        <w:numPr>
          <w:ilvl w:val="0"/>
          <w:numId w:val="1014"/>
        </w:numPr>
        <w:pStyle w:val="Compact"/>
      </w:pPr>
      <w:r>
        <w:rPr>
          <w:bCs/>
          <w:b/>
        </w:rPr>
        <w:t xml:space="preserve">Strengthen Circularity Initiatives:</w:t>
      </w:r>
      <w:r>
        <w:t xml:space="preserve"> </w:t>
      </w:r>
      <w:r>
        <w:t xml:space="preserve">Continue to expand and promote `phdejjerde` (circular/take-back programs) and investigate avenues to further increase the `vexeklsqgp` (recyclability percentage) of \'xgximrxgkj\' components. This will maximize end-of-life credits and contribute to a more circular economy.</w:t>
      </w:r>
    </w:p>
    <w:p>
      <w:pPr>
        <w:numPr>
          <w:ilvl w:val="0"/>
          <w:numId w:val="1014"/>
        </w:numPr>
        <w:pStyle w:val="Compact"/>
      </w:pPr>
      <w:r>
        <w:rPr>
          <w:bCs/>
          <w:b/>
        </w:rPr>
        <w:t xml:space="preserve">Enhance Data Granularity:</w:t>
      </w:r>
      <w:r>
        <w:t xml:space="preserve"> </w:t>
      </w:r>
      <w:r>
        <w:t xml:space="preserve">Implement robust internal systems for collecting precise primary data across all lifecycle stages. This includes detailed information on transport distances and modes, actual energy consumption and sources, and specific end-of-life treatment outcomes, to ensure increasingly accurate future PCF assessments and facilitate targeted interventions.</w:t>
      </w:r>
    </w:p>
    <w:p>
      <w:pPr>
        <w:numPr>
          <w:ilvl w:val="0"/>
          <w:numId w:val="1014"/>
        </w:numPr>
        <w:pStyle w:val="Compact"/>
      </w:pPr>
      <w:r>
        <w:rPr>
          <w:bCs/>
          <w:b/>
        </w:rPr>
        <w:t xml:space="preserve">Supply Chain Collaboration:</w:t>
      </w:r>
      <w:r>
        <w:t xml:space="preserve"> </w:t>
      </w:r>
      <w:r>
        <w:t xml:space="preserve">Collaborate closely with supply chain partners, especially those in the Europe-focused supply chain, to collect their specific emissions data and support their decarbonization efforts. This is crucial for achieving comprehensive and robust Scope 3 compliance.</w:t>
      </w:r>
    </w:p>
    <w:p>
      <w:r>
        <w:pict>
          <v:rect style="width:0;height:1.5pt" o:hralign="center" o:hrstd="t" o:hr="t"/>
        </w:pict>
      </w:r>
    </w:p>
    <w:p>
      <w:pPr>
        <w:pStyle w:val="FirstParagraph"/>
      </w:pPr>
      <w:r>
        <w:t xml:space="preserve">Confidential - Internal Use Only</w:t>
      </w:r>
    </w:p>
    <w:p>
      <w:pPr>
        <w:pStyle w:val="BodyText"/>
      </w:pPr>
      <w:r>
        <w:t xml:space="preserve">© 2026 ojttklhwez - All Rights Reserved</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xgximrxgkj</dc:title>
  <dc:creator/>
  <dc:description>Detailed Product Carbon Footprint (PCF) analysis report for xgximrxgkj, adhering to GHG Protocol standards and 2026 LSR update. Conducted by tvhdukjvut for ojttklhwez.</dc:description>
  <cp:keywords/>
  <dcterms:created xsi:type="dcterms:W3CDTF">2026-07-15T20:40:28Z</dcterms:created>
  <dcterms:modified xsi:type="dcterms:W3CDTF">2026-07-15T20:40:28Z</dcterms:modified>
</cp:coreProperties>
</file>

<file path=docProps/custom.xml><?xml version="1.0" encoding="utf-8"?>
<Properties xmlns="http://schemas.openxmlformats.org/officeDocument/2006/custom-properties" xmlns:vt="http://schemas.openxmlformats.org/officeDocument/2006/docPropsVTypes"/>
</file>