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xgnwxqnrhw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xgnwxqnrhw</w:t>
      </w:r>
    </w:p>
    <w:p>
      <w:pPr>
        <w:pStyle w:val="BodyText"/>
      </w:pPr>
      <w:r>
        <w:t xml:space="preserve">Company: lvwuxmvkxl</w:t>
      </w:r>
    </w:p>
    <w:p>
      <w:pPr>
        <w:pStyle w:val="BodyText"/>
      </w:pPr>
      <w:r>
        <w:t xml:space="preserve">Accounting Standard: GHG Protocol</w:t>
      </w:r>
    </w:p>
    <w:p>
      <w:pPr>
        <w:pStyle w:val="BodyText"/>
      </w:pPr>
      <w:r>
        <w:t xml:space="preserve">Senior Sustainability Consultant: prqssjyrqh</w:t>
      </w:r>
    </w:p>
    <w:p>
      <w:pPr>
        <w:pStyle w:val="BodyText"/>
      </w:pPr>
      <w:r>
        <w:t xml:space="preserve">Disclaimer: This report is generated based on available data and industry standards. Specific values for placeholder parameters have been assumed for illustrative calculation purposes in the absence of detailed primary data. All efforts have been made to provide an accurate representation based on the provided input and established methodologies.</w:t>
      </w:r>
    </w:p>
    <w:bookmarkEnd w:id="20"/>
    <w:bookmarkStart w:id="21" w:name="X7400611824dc3da0435f3c6435342f6a2220787"/>
    <w:p>
      <w:pPr>
        <w:pStyle w:val="Heading1"/>
      </w:pPr>
      <w:r>
        <w:t xml:space="preserve">Product Carbon Footprint Analysis for xgnwxqnrhw</w:t>
      </w:r>
    </w:p>
    <w:p>
      <w:pPr>
        <w:pStyle w:val="FirstParagraph"/>
      </w:pPr>
      <w:r>
        <w:t xml:space="preserve">Generated Date: Friday, May 22, 2026</w:t>
      </w:r>
    </w:p>
    <w:p>
      <w:pPr>
        <w:pStyle w:val="BodyText"/>
      </w:pPr>
      <w:r>
        <w:t xml:space="preserve">Company: lvwuxmvkxl</w:t>
      </w:r>
    </w:p>
    <w:p>
      <w:pPr>
        <w:pStyle w:val="BodyText"/>
      </w:pPr>
      <w:r>
        <w:t xml:space="preserve">Senior Sustainability Consultant: prqssjyrqh</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xgnwxqnrhw, manufactured by lvwuxmvkxl. The analysis adheres strictly to the Greenhouse Gas (GHG) Protocol, with prqssjyrqh, a Senior Sustainability Consultant specializing in GHG Protocol, overseeing the methodology and findings. The PCF quantifies the total greenhouse gas emissions associated with the product\'s entire lifecycle, from raw material extraction to end-of-life, categorized into Scope 1, Scope 2, and Scope 3 emissions. This assessment aims to identify emission hotspots, inform decarbonization strategies, and ensure compliance with evolving sustainability reporting requirements, including considerations for the 2026 Land Sector and Removals (LSR) Standard and stringent Scope 3 coverage.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xgnwxqnrhw follows a five-step methodology in accordance with the GHG Protocol Product Standard. The assessment covers the entire lifecycle of the product to provide a comprehensive view of its environmental impact.</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xgnwxqnrhw</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extended to cover the full cradle-to-grave lifecycle, encompassing raw material acquisition, manufacturing, transportation, use phase, and end-of-life treatment. This full lifecycle approach captures emissions across the entire value chain.</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downstream elements like use phase and end-of-life, indicating potential market region)</w:t>
      </w:r>
    </w:p>
    <w:bookmarkEnd w:id="25"/>
    <w:bookmarkStart w:id="26" w:name="allocation"/>
    <w:p>
      <w:pPr>
        <w:pStyle w:val="Heading3"/>
      </w:pPr>
      <w:r>
        <w:t xml:space="preserve">1.4. Allocation</w:t>
      </w:r>
    </w:p>
    <w:p>
      <w:pPr>
        <w:pStyle w:val="FirstParagraph"/>
      </w:pPr>
      <w:r>
        <w:t xml:space="preserve">Emissions are allocated based on physical causality where possible. For co-products or multi-functional processes, mass-based allocation is generally applied, consistent with GHG Protocol principles.</w:t>
      </w:r>
    </w:p>
    <w:bookmarkEnd w:id="26"/>
    <w:bookmarkStart w:id="27"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A detailed breakdown of materials, energy inputs, and logistical activities across the lifecycle stages was conducted. Due to the placeholder nature of some input parameters, specific illustrative values and industry-average emission factors have been utilized for calculation purposes, clearly stated where assumptions are made.</w:t>
      </w:r>
    </w:p>
    <w:bookmarkStart w:id="29" w:name="Xe93f10fd72a6d2e0473ce1be37e0db769255188"/>
    <w:p>
      <w:pPr>
        <w:pStyle w:val="Heading3"/>
      </w:pPr>
      <w:r>
        <w:t xml:space="preserve">2.1. Material Inputs (Scope 3, Category 1: Purchased Goods and Services)</w:t>
      </w:r>
    </w:p>
    <w:p>
      <w:pPr>
        <w:pStyle w:val="FirstParagraph"/>
      </w:pPr>
      <w:r>
        <w:t xml:space="preserve">The Detailed Bill of Materials (BOM), provided as `tfsgojww`, is crucial for high-accuracy material impact calculation. For the purpose of this report, the following illustrative BOM data, adhering to the specified format, is used for calculating material-related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BOM-002</w:t>
            </w:r>
          </w:p>
        </w:tc>
        <w:tc>
          <w:tcPr/>
          <w:p>
            <w:pPr>
              <w:pStyle w:val="Compact"/>
              <w:jc w:val="left"/>
            </w:pPr>
            <w:r>
              <w:t xml:space="preserve">Steel Components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iCs/>
          <w:i/>
        </w:rPr>
        <w:t xml:space="preserve">Note: Material emission factors are indicative industry averages. For plastics, a general factor of 2.5 kg CO2e/kg is used, while for steel, a factor of 1.5 kg CO2e/kg is applied.</w:t>
      </w:r>
    </w:p>
    <w:bookmarkEnd w:id="29"/>
    <w:bookmarkStart w:id="30" w:name="Xb874b862ade28d5264e50ccfc73b38430f41897"/>
    <w:p>
      <w:pPr>
        <w:pStyle w:val="Heading3"/>
      </w:pPr>
      <w:r>
        <w:t xml:space="preserve">2.2. Energy Inputs (Production Phase - Scope 2: Purchased Electricity)</w:t>
      </w:r>
    </w:p>
    <w:p>
      <w:pPr>
        <w:pStyle w:val="FirstParagraph"/>
      </w:pPr>
      <w:r>
        <w:t xml:space="preserve">The production phase energy consumption and sourcing data are critical.</w:t>
      </w:r>
    </w:p>
    <w:p>
      <w:pPr>
        <w:numPr>
          <w:ilvl w:val="0"/>
          <w:numId w:val="1002"/>
        </w:numPr>
        <w:pStyle w:val="Compact"/>
      </w:pPr>
      <w:r>
        <w:rPr>
          <w:bCs/>
          <w:b/>
        </w:rPr>
        <w:t xml:space="preserve">Energy Intensity (kWh/unit):</w:t>
      </w:r>
      <w:r>
        <w:t xml:space="preserve"> </w:t>
      </w:r>
      <w:r>
        <w:t xml:space="preserve">rzimiotgyx (Assumed: 10 kWh/unit)</w:t>
      </w:r>
    </w:p>
    <w:p>
      <w:pPr>
        <w:numPr>
          <w:ilvl w:val="0"/>
          <w:numId w:val="1002"/>
        </w:numPr>
        <w:pStyle w:val="Compact"/>
      </w:pPr>
      <w:r>
        <w:rPr>
          <w:bCs/>
          <w:b/>
        </w:rPr>
        <w:t xml:space="preserve">Renewable Energy Usage:</w:t>
      </w:r>
      <w:r>
        <w:t xml:space="preserve"> </w:t>
      </w:r>
      <w:r>
        <w:t xml:space="preserve">qwlxmzepon (Assumed: 50%)</w:t>
      </w:r>
    </w:p>
    <w:p>
      <w:pPr>
        <w:numPr>
          <w:ilvl w:val="0"/>
          <w:numId w:val="1002"/>
        </w:numPr>
        <w:pStyle w:val="Compact"/>
      </w:pPr>
      <w:r>
        <w:rPr>
          <w:bCs/>
          <w:b/>
        </w:rPr>
        <w:t xml:space="preserve">Non-Renewable Energy Usage:</w:t>
      </w:r>
      <w:r>
        <w:t xml:space="preserve"> </w:t>
      </w:r>
      <w:r>
        <w:t xml:space="preserve">50%</w:t>
      </w:r>
    </w:p>
    <w:p>
      <w:pPr>
        <w:numPr>
          <w:ilvl w:val="0"/>
          <w:numId w:val="1002"/>
        </w:numPr>
        <w:pStyle w:val="Compact"/>
      </w:pPr>
      <w:r>
        <w:rPr>
          <w:bCs/>
          <w:b/>
        </w:rPr>
        <w:t xml:space="preserve">Grid Electricity Emission Factor (China):</w:t>
      </w:r>
      <w:r>
        <w:t xml:space="preserve"> </w:t>
      </w:r>
      <w:r>
        <w:t xml:space="preserve">0.577 kg CO2e/kWh (2020-2022 average for China)</w:t>
      </w:r>
    </w:p>
    <w:p>
      <w:pPr>
        <w:numPr>
          <w:ilvl w:val="0"/>
          <w:numId w:val="1002"/>
        </w:numPr>
        <w:pStyle w:val="Compact"/>
      </w:pPr>
      <w:r>
        <w:rPr>
          <w:bCs/>
          <w:b/>
        </w:rPr>
        <w:t xml:space="preserve">Renewable Energy Emission Factor:</w:t>
      </w:r>
      <w:r>
        <w:t xml:space="preserve"> </w:t>
      </w:r>
      <w:r>
        <w:t xml:space="preserve">0 kg CO2e/kWh (assuming certified renewable energy)</w:t>
      </w:r>
    </w:p>
    <w:bookmarkEnd w:id="30"/>
    <w:bookmarkStart w:id="31" w:name="X520ba4742699b74544d526e8fce48b1cc528d31"/>
    <w:p>
      <w:pPr>
        <w:pStyle w:val="Heading3"/>
      </w:pPr>
      <w:r>
        <w:t xml:space="preserve">2.3. Transport (Upstream &amp; Downstream - Scope 3, Categories 4 &amp; 9)</w:t>
      </w:r>
    </w:p>
    <w:p>
      <w:pPr>
        <w:pStyle w:val="FirstParagraph"/>
      </w:pPr>
      <w:r>
        <w:t xml:space="preserve">Logistics data plays a significant role in supply chain emissions.</w:t>
      </w:r>
    </w:p>
    <w:p>
      <w:pPr>
        <w:numPr>
          <w:ilvl w:val="0"/>
          <w:numId w:val="1003"/>
        </w:numPr>
        <w:pStyle w:val="Compact"/>
      </w:pPr>
      <w:r>
        <w:rPr>
          <w:bCs/>
          <w:b/>
        </w:rPr>
        <w:t xml:space="preserve">Assumed Product Weight for Transport:</w:t>
      </w:r>
      <w:r>
        <w:t xml:space="preserve"> </w:t>
      </w:r>
      <w:r>
        <w:t xml:space="preserve">1.0 kg (including packaging)</w:t>
      </w:r>
    </w:p>
    <w:p>
      <w:pPr>
        <w:numPr>
          <w:ilvl w:val="0"/>
          <w:numId w:val="1003"/>
        </w:numPr>
        <w:pStyle w:val="Compact"/>
      </w:pPr>
      <w:r>
        <w:rPr>
          <w:bCs/>
          <w:b/>
        </w:rPr>
        <w:t xml:space="preserve">Upstream Transport Mode:</w:t>
      </w:r>
      <w:r>
        <w:t xml:space="preserve"> </w:t>
      </w:r>
      <w:r>
        <w:t xml:space="preserve">Select Mode (Assumed: Road freight - Heavy Goods Vehicle)</w:t>
      </w:r>
    </w:p>
    <w:p>
      <w:pPr>
        <w:numPr>
          <w:ilvl w:val="0"/>
          <w:numId w:val="1003"/>
        </w:numPr>
        <w:pStyle w:val="Compact"/>
      </w:pPr>
      <w:r>
        <w:rPr>
          <w:bCs/>
          <w:b/>
        </w:rPr>
        <w:t xml:space="preserve">Upstream Transport Distance:</w:t>
      </w:r>
      <w:r>
        <w:t xml:space="preserve"> </w:t>
      </w:r>
      <w:r>
        <w:t xml:space="preserve">fffogfystd (Assumed: 1000 km, representing raw material transport to factory)</w:t>
      </w:r>
    </w:p>
    <w:p>
      <w:pPr>
        <w:numPr>
          <w:ilvl w:val="0"/>
          <w:numId w:val="1003"/>
        </w:numPr>
        <w:pStyle w:val="Compact"/>
      </w:pPr>
      <w:r>
        <w:rPr>
          <w:bCs/>
          <w:b/>
        </w:rPr>
        <w:t xml:space="preserve">Last-Mile Delivery Channel:</w:t>
      </w:r>
      <w:r>
        <w:t xml:space="preserve"> </w:t>
      </w:r>
      <w:r>
        <w:t xml:space="preserve">Delivery Type (Assumed: Courier Van)</w:t>
      </w:r>
    </w:p>
    <w:p>
      <w:pPr>
        <w:numPr>
          <w:ilvl w:val="0"/>
          <w:numId w:val="1003"/>
        </w:numPr>
        <w:pStyle w:val="Compact"/>
      </w:pPr>
      <w:r>
        <w:rPr>
          <w:bCs/>
          <w:b/>
        </w:rPr>
        <w:t xml:space="preserve">Last-Mile Delivery Distance:</w:t>
      </w:r>
      <w:r>
        <w:t xml:space="preserve"> </w:t>
      </w:r>
      <w:r>
        <w:t xml:space="preserve">100 km (illustrative for delivery to end-user)</w:t>
      </w:r>
    </w:p>
    <w:p>
      <w:pPr>
        <w:numPr>
          <w:ilvl w:val="0"/>
          <w:numId w:val="1003"/>
        </w:numPr>
        <w:pStyle w:val="Compact"/>
      </w:pPr>
      <w:r>
        <w:rPr>
          <w:bCs/>
          <w:b/>
        </w:rPr>
        <w:t xml:space="preserve">Transport Emission Factor:</w:t>
      </w:r>
      <w:r>
        <w:t xml:space="preserve"> </w:t>
      </w:r>
      <w:r>
        <w:t xml:space="preserve">0.1 kg CO2e/tonne-km (representative average for road freight).</w:t>
      </w:r>
    </w:p>
    <w:bookmarkEnd w:id="31"/>
    <w:bookmarkStart w:id="32" w:name="Xc8d47610e025d3b1fe367d676386ecee874efa3"/>
    <w:p>
      <w:pPr>
        <w:pStyle w:val="Heading3"/>
      </w:pPr>
      <w:r>
        <w:t xml:space="preserve">2.4. Use Phase (Scope 3, Category 11: Use of Sold Products)</w:t>
      </w:r>
    </w:p>
    <w:p>
      <w:pPr>
        <w:pStyle w:val="FirstParagraph"/>
      </w:pPr>
      <w:r>
        <w:t xml:space="preserve">Product durability and energy consumption during use significantly contribute to its PCF.</w:t>
      </w:r>
    </w:p>
    <w:p>
      <w:pPr>
        <w:numPr>
          <w:ilvl w:val="0"/>
          <w:numId w:val="1004"/>
        </w:numPr>
        <w:pStyle w:val="Compact"/>
      </w:pPr>
      <w:r>
        <w:rPr>
          <w:bCs/>
          <w:b/>
        </w:rPr>
        <w:t xml:space="preserve">Product Lifespan:</w:t>
      </w:r>
      <w:r>
        <w:t xml:space="preserve"> </w:t>
      </w:r>
      <w:r>
        <w:t xml:space="preserve">ppwvwtxiop (Assumed: 5 years)</w:t>
      </w:r>
    </w:p>
    <w:p>
      <w:pPr>
        <w:numPr>
          <w:ilvl w:val="0"/>
          <w:numId w:val="1004"/>
        </w:numPr>
        <w:pStyle w:val="Compact"/>
      </w:pPr>
      <w:r>
        <w:rPr>
          <w:bCs/>
          <w:b/>
        </w:rPr>
        <w:t xml:space="preserve">Energy Consumption in Use:</w:t>
      </w:r>
      <w:r>
        <w:t xml:space="preserve"> </w:t>
      </w:r>
      <w:r>
        <w:t xml:space="preserve">fghxqvtmgl (Assumed: 20 kWh/year)</w:t>
      </w:r>
    </w:p>
    <w:p>
      <w:pPr>
        <w:numPr>
          <w:ilvl w:val="0"/>
          <w:numId w:val="1004"/>
        </w:numPr>
        <w:pStyle w:val="Compact"/>
      </w:pPr>
      <w:r>
        <w:rPr>
          <w:bCs/>
          <w:b/>
        </w:rPr>
        <w:t xml:space="preserve">Electricity Emission Factor (Europe):</w:t>
      </w:r>
      <w:r>
        <w:t xml:space="preserve"> </w:t>
      </w:r>
      <w:r>
        <w:t xml:space="preserve">0.238 kg CO2e/kWh (EU grid average, 2019 data)</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Circular economy impacts are incorporated through EoL scenarios.</w:t>
      </w:r>
    </w:p>
    <w:p>
      <w:pPr>
        <w:numPr>
          <w:ilvl w:val="0"/>
          <w:numId w:val="1005"/>
        </w:numPr>
        <w:pStyle w:val="Compact"/>
      </w:pPr>
      <w:r>
        <w:rPr>
          <w:bCs/>
          <w:b/>
        </w:rPr>
        <w:t xml:space="preserve">Recyclability Percentage:</w:t>
      </w:r>
      <w:r>
        <w:t xml:space="preserve"> </w:t>
      </w:r>
      <w:r>
        <w:t xml:space="preserve">enezssqurn (Assumed: 70%)</w:t>
      </w:r>
    </w:p>
    <w:p>
      <w:pPr>
        <w:numPr>
          <w:ilvl w:val="0"/>
          <w:numId w:val="1005"/>
        </w:numPr>
        <w:pStyle w:val="Compact"/>
      </w:pPr>
      <w:r>
        <w:rPr>
          <w:bCs/>
          <w:b/>
        </w:rPr>
        <w:t xml:space="preserve">Circular/Take-back Programs:</w:t>
      </w:r>
      <w:r>
        <w:t xml:space="preserve"> </w:t>
      </w:r>
      <w:r>
        <w:t xml:space="preserve">mgdyrosevj (Assumed: Yes)</w:t>
      </w:r>
    </w:p>
    <w:p>
      <w:pPr>
        <w:numPr>
          <w:ilvl w:val="0"/>
          <w:numId w:val="1005"/>
        </w:numPr>
        <w:pStyle w:val="Compact"/>
      </w:pPr>
      <w:r>
        <w:rPr>
          <w:bCs/>
          <w:b/>
        </w:rPr>
        <w:t xml:space="preserve">End-of-Life Emission Factors (Illustrative):</w:t>
      </w:r>
    </w:p>
    <w:p>
      <w:pPr>
        <w:numPr>
          <w:ilvl w:val="1"/>
          <w:numId w:val="1006"/>
        </w:numPr>
        <w:pStyle w:val="Compact"/>
      </w:pPr>
      <w:r>
        <w:rPr>
          <w:bCs/>
          <w:b/>
        </w:rPr>
        <w:t xml:space="preserve">Recycling Benefit:</w:t>
      </w:r>
      <w:r>
        <w:t xml:space="preserve"> </w:t>
      </w:r>
      <w:r>
        <w:t xml:space="preserve">-1.0 kg CO2e/kg (Assumed avoided emissions from material displacement)</w:t>
      </w:r>
    </w:p>
    <w:p>
      <w:pPr>
        <w:numPr>
          <w:ilvl w:val="1"/>
          <w:numId w:val="1006"/>
        </w:numPr>
        <w:pStyle w:val="Compact"/>
      </w:pPr>
      <w:r>
        <w:rPr>
          <w:bCs/>
          <w:b/>
        </w:rPr>
        <w:t xml:space="preserve">Landfill Emission:</w:t>
      </w:r>
      <w:r>
        <w:t xml:space="preserve"> </w:t>
      </w:r>
      <w:r>
        <w:t xml:space="preserve">0.033 kg CO2e/kg (for plastics)</w:t>
      </w:r>
    </w:p>
    <w:p>
      <w:pPr>
        <w:numPr>
          <w:ilvl w:val="0"/>
          <w:numId w:val="1005"/>
        </w:numPr>
        <w:pStyle w:val="Compact"/>
      </w:pPr>
      <w:r>
        <w:rPr>
          <w:bCs/>
          <w:b/>
        </w:rPr>
        <w:t xml:space="preserve">Allocation for EoL:</w:t>
      </w:r>
      <w:r>
        <w:t xml:space="preserve"> </w:t>
      </w:r>
      <w:r>
        <w:t xml:space="preserve">70% recycled, 30% landfilled (if no circular program specifies different handling for non-recycled portion)</w:t>
      </w:r>
    </w:p>
    <w:p>
      <w:pPr>
        <w:pStyle w:val="FirstParagraph"/>
      </w:pPr>
      <w:r>
        <w:rPr>
          <w:iCs/>
          <w:i/>
        </w:rPr>
        <w:t xml:space="preserve">Note: The inclusion of Circular/Take-back Programs (`mgdyrosevj`) implies a structured approach to EoL, potentially leading to higher recycling rates and better management than typical waste streams.</w:t>
      </w:r>
    </w:p>
    <w:p>
      <w:r>
        <w:pict>
          <v:rect style="width:0;height:1.5pt" o:hralign="center" o:hrstd="t" o:hr="t"/>
        </w:pict>
      </w:r>
    </w:p>
    <w:bookmarkEnd w:id="33"/>
    <w:bookmarkEnd w:id="34"/>
    <w:bookmarkStart w:id="44" w:name="X84905863ad58caa81b83ef66a0ea955e601672a"/>
    <w:p>
      <w:pPr>
        <w:pStyle w:val="Heading2"/>
      </w:pPr>
      <w:r>
        <w:t xml:space="preserve">4. Emission Calculations (Activity * Emission Factor = CO2e)</w:t>
      </w:r>
    </w:p>
    <w:p>
      <w:pPr>
        <w:pStyle w:val="FirstParagraph"/>
      </w:pPr>
      <w:r>
        <w:t xml:space="preserve">The total Product Carbon Footprint is calculated by summing emissions across all lifecycle stages and categorized according to the GHG Protocol Scopes.</w:t>
      </w:r>
    </w:p>
    <w:bookmarkStart w:id="35" w:name="scope-1-emissions-direct-emissions"/>
    <w:p>
      <w:pPr>
        <w:pStyle w:val="Heading3"/>
      </w:pPr>
      <w:r>
        <w:t xml:space="preserve">4.1. Scope 1 Emissions (Direct Emissions)</w:t>
      </w:r>
    </w:p>
    <w:p>
      <w:pPr>
        <w:pStyle w:val="FirstParagraph"/>
      </w:pPr>
      <w:r>
        <w:t xml:space="preserve">For this Product Carbon Footprint analysis, with a "factory_gate" system boundary and without specific operational data for direct fuel combustion or process emissions owned or controlled by lvwuxmvkxl during the product\'s manufacturing, Scope 1 emissions are considered negligible. In a corporate GHG inventory, these would include emissions from owned or controlled stationary combustion (e.g., boilers), process emissions, fugitive emissions, and mobile combustion (e.g., company vehicles).</w:t>
      </w:r>
    </w:p>
    <w:p>
      <w:pPr>
        <w:numPr>
          <w:ilvl w:val="0"/>
          <w:numId w:val="1007"/>
        </w:numPr>
        <w:pStyle w:val="Compact"/>
      </w:pPr>
      <w:r>
        <w:rPr>
          <w:bCs/>
          <w:b/>
        </w:rPr>
        <w:t xml:space="preserve">Total Scope 1 Emissions:</w:t>
      </w:r>
      <w:r>
        <w:t xml:space="preserve"> </w:t>
      </w:r>
      <w:r>
        <w:t xml:space="preserve">0.00 kg CO2e/unit (Assumed)</w:t>
      </w:r>
    </w:p>
    <w:bookmarkEnd w:id="35"/>
    <w:bookmarkStart w:id="36"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used in the manufacturing of xgnwxqnrhw in China.</w:t>
      </w:r>
    </w:p>
    <w:p>
      <w:pPr>
        <w:numPr>
          <w:ilvl w:val="0"/>
          <w:numId w:val="1008"/>
        </w:numPr>
        <w:pStyle w:val="Compact"/>
      </w:pPr>
      <w:r>
        <w:t xml:space="preserve">Total Energy Consumption in Production: 10 kWh/unit</w:t>
      </w:r>
    </w:p>
    <w:p>
      <w:pPr>
        <w:numPr>
          <w:ilvl w:val="0"/>
          <w:numId w:val="1008"/>
        </w:numPr>
        <w:pStyle w:val="Compact"/>
      </w:pPr>
      <w:r>
        <w:t xml:space="preserve">Non-renewable energy share: 50%</w:t>
      </w:r>
    </w:p>
    <w:p>
      <w:pPr>
        <w:numPr>
          <w:ilvl w:val="0"/>
          <w:numId w:val="1008"/>
        </w:numPr>
        <w:pStyle w:val="Compact"/>
      </w:pPr>
      <w:r>
        <w:t xml:space="preserve">Renewable energy share: 50%</w:t>
      </w:r>
    </w:p>
    <w:p>
      <w:pPr>
        <w:numPr>
          <w:ilvl w:val="0"/>
          <w:numId w:val="1008"/>
        </w:numPr>
        <w:pStyle w:val="Compact"/>
      </w:pPr>
      <w:r>
        <w:t xml:space="preserve">Non-renewable electricity emissions: 10 kWh/unit * 50% * 0.577 kg CO2e/kWh = 2.885 kg CO2e/unit</w:t>
      </w:r>
    </w:p>
    <w:p>
      <w:pPr>
        <w:numPr>
          <w:ilvl w:val="0"/>
          <w:numId w:val="1008"/>
        </w:numPr>
        <w:pStyle w:val="Compact"/>
      </w:pPr>
      <w:r>
        <w:t xml:space="preserve">Renewable electricity emissions: 10 kWh/unit * 50% * 0 kg CO2e/kWh = 0.00 kg CO2e/unit</w:t>
      </w:r>
    </w:p>
    <w:p>
      <w:pPr>
        <w:numPr>
          <w:ilvl w:val="0"/>
          <w:numId w:val="1008"/>
        </w:numPr>
        <w:pStyle w:val="Compact"/>
      </w:pPr>
      <w:r>
        <w:rPr>
          <w:bCs/>
          <w:b/>
        </w:rPr>
        <w:t xml:space="preserve">Total Scope 2 Emissions:</w:t>
      </w:r>
      <w:r>
        <w:t xml:space="preserve"> </w:t>
      </w:r>
      <w:r>
        <w:t xml:space="preserve">2.885 kg CO2e/unit</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largest portion of a product\'s carbon footprint and encompass all other indirect emissions occurring in the value chain.</w:t>
      </w:r>
    </w:p>
    <w:bookmarkStart w:id="37" w:name="Xab9729a0caae076ca89f2f71668734f92723cf2"/>
    <w:p>
      <w:pPr>
        <w:pStyle w:val="Heading4"/>
      </w:pPr>
      <w:r>
        <w:t xml:space="preserve">4.3.1. Category 1: Purchased Goods and Services (Materials)</w:t>
      </w:r>
    </w:p>
    <w:p>
      <w:pPr>
        <w:numPr>
          <w:ilvl w:val="0"/>
          <w:numId w:val="1009"/>
        </w:numPr>
        <w:pStyle w:val="Compact"/>
      </w:pPr>
      <w:r>
        <w:t xml:space="preserve">Plastic Casing: 0.5 kg * 2.5 kg CO2e/kg = 1.25 kg CO2e</w:t>
      </w:r>
    </w:p>
    <w:p>
      <w:pPr>
        <w:numPr>
          <w:ilvl w:val="0"/>
          <w:numId w:val="1009"/>
        </w:numPr>
        <w:pStyle w:val="Compact"/>
      </w:pPr>
      <w:r>
        <w:t xml:space="preserve">Steel Components: 0.2 kg * 1.5 kg CO2e/kg = 0.30 kg CO2e</w:t>
      </w:r>
    </w:p>
    <w:p>
      <w:pPr>
        <w:numPr>
          <w:ilvl w:val="0"/>
          <w:numId w:val="1009"/>
        </w:numPr>
        <w:pStyle w:val="Compact"/>
      </w:pPr>
      <w:r>
        <w:rPr>
          <w:bCs/>
          <w:b/>
        </w:rPr>
        <w:t xml:space="preserve">Total Scope 3, Category 1 Emissions:</w:t>
      </w:r>
      <w:r>
        <w:t xml:space="preserve"> </w:t>
      </w:r>
      <w:r>
        <w:t xml:space="preserve">1.55 kg CO2e/unit</w:t>
      </w:r>
    </w:p>
    <w:bookmarkEnd w:id="37"/>
    <w:bookmarkStart w:id="38" w:name="X6669a43143349c25ec93e775eebde43de53a73c"/>
    <w:p>
      <w:pPr>
        <w:pStyle w:val="Heading4"/>
      </w:pPr>
      <w:r>
        <w:t xml:space="preserve">4.3.2. Category 4: Upstream Transportation and Distribution</w:t>
      </w:r>
    </w:p>
    <w:p>
      <w:pPr>
        <w:pStyle w:val="FirstParagraph"/>
      </w:pPr>
      <w:r>
        <w:t xml:space="preserve">Emissions from transporting raw materials to the production facility.</w:t>
      </w:r>
    </w:p>
    <w:p>
      <w:pPr>
        <w:numPr>
          <w:ilvl w:val="0"/>
          <w:numId w:val="1010"/>
        </w:numPr>
        <w:pStyle w:val="Compact"/>
      </w:pPr>
      <w:r>
        <w:t xml:space="preserve">Product Weight for Transport: 1.0 kg (0.001 tonne)</w:t>
      </w:r>
    </w:p>
    <w:p>
      <w:pPr>
        <w:numPr>
          <w:ilvl w:val="0"/>
          <w:numId w:val="1010"/>
        </w:numPr>
        <w:pStyle w:val="Compact"/>
      </w:pPr>
      <w:r>
        <w:t xml:space="preserve">Transport Distance: 1000 km</w:t>
      </w:r>
    </w:p>
    <w:p>
      <w:pPr>
        <w:numPr>
          <w:ilvl w:val="0"/>
          <w:numId w:val="1010"/>
        </w:numPr>
        <w:pStyle w:val="Compact"/>
      </w:pPr>
      <w:r>
        <w:t xml:space="preserve">Emission Factor: 0.1 kg CO2e/tonne-km</w:t>
      </w:r>
    </w:p>
    <w:p>
      <w:pPr>
        <w:numPr>
          <w:ilvl w:val="0"/>
          <w:numId w:val="1010"/>
        </w:numPr>
        <w:pStyle w:val="Compact"/>
      </w:pPr>
      <w:r>
        <w:rPr>
          <w:bCs/>
          <w:b/>
        </w:rPr>
        <w:t xml:space="preserve">Total Scope 3, Category 4 Emissions:</w:t>
      </w:r>
      <w:r>
        <w:t xml:space="preserve"> </w:t>
      </w:r>
      <w:r>
        <w:t xml:space="preserve">0.001 tonne * 1000 km * 0.1 kg CO2e/tonne-km = 0.10 kg CO2e/unit</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Emissions from transporting the finished product to the end-user.</w:t>
      </w:r>
    </w:p>
    <w:p>
      <w:pPr>
        <w:numPr>
          <w:ilvl w:val="0"/>
          <w:numId w:val="1011"/>
        </w:numPr>
        <w:pStyle w:val="Compact"/>
      </w:pPr>
      <w:r>
        <w:t xml:space="preserve">Product Weight for Transport: 1.0 kg (0.001 tonne)</w:t>
      </w:r>
    </w:p>
    <w:p>
      <w:pPr>
        <w:numPr>
          <w:ilvl w:val="0"/>
          <w:numId w:val="1011"/>
        </w:numPr>
        <w:pStyle w:val="Compact"/>
      </w:pPr>
      <w:r>
        <w:t xml:space="preserve">Delivery Distance: 100 km</w:t>
      </w:r>
    </w:p>
    <w:p>
      <w:pPr>
        <w:numPr>
          <w:ilvl w:val="0"/>
          <w:numId w:val="1011"/>
        </w:numPr>
        <w:pStyle w:val="Compact"/>
      </w:pPr>
      <w:r>
        <w:t xml:space="preserve">Emission Factor: 0.1 kg CO2e/tonne-km</w:t>
      </w:r>
    </w:p>
    <w:p>
      <w:pPr>
        <w:numPr>
          <w:ilvl w:val="0"/>
          <w:numId w:val="1011"/>
        </w:numPr>
        <w:pStyle w:val="Compact"/>
      </w:pPr>
      <w:r>
        <w:rPr>
          <w:bCs/>
          <w:b/>
        </w:rPr>
        <w:t xml:space="preserve">Total Scope 3, Category 9 Emissions:</w:t>
      </w:r>
      <w:r>
        <w:t xml:space="preserve"> </w:t>
      </w:r>
      <w:r>
        <w:t xml:space="preserve">0.001 tonne * 100 km * 0.1 kg CO2e/tonne-km = 0.01 kg CO2e/unit</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during the product\'s lifespan in use, assuming usage in Europe.</w:t>
      </w:r>
    </w:p>
    <w:p>
      <w:pPr>
        <w:numPr>
          <w:ilvl w:val="0"/>
          <w:numId w:val="1012"/>
        </w:numPr>
        <w:pStyle w:val="Compact"/>
      </w:pPr>
      <w:r>
        <w:t xml:space="preserve">Energy Consumption in Use (annual): 20 kWh/year</w:t>
      </w:r>
    </w:p>
    <w:p>
      <w:pPr>
        <w:numPr>
          <w:ilvl w:val="0"/>
          <w:numId w:val="1012"/>
        </w:numPr>
        <w:pStyle w:val="Compact"/>
      </w:pPr>
      <w:r>
        <w:t xml:space="preserve">Product Lifespan: 5 years</w:t>
      </w:r>
    </w:p>
    <w:p>
      <w:pPr>
        <w:numPr>
          <w:ilvl w:val="0"/>
          <w:numId w:val="1012"/>
        </w:numPr>
        <w:pStyle w:val="Compact"/>
      </w:pPr>
      <w:r>
        <w:t xml:space="preserve">Electricity Emission Factor (Europe): 0.238 kg CO2e/kWh</w:t>
      </w:r>
    </w:p>
    <w:p>
      <w:pPr>
        <w:numPr>
          <w:ilvl w:val="0"/>
          <w:numId w:val="1012"/>
        </w:numPr>
        <w:pStyle w:val="Compact"/>
      </w:pPr>
      <w:r>
        <w:rPr>
          <w:bCs/>
          <w:b/>
        </w:rPr>
        <w:t xml:space="preserve">Total Scope 3, Category 11 Emissions:</w:t>
      </w:r>
      <w:r>
        <w:t xml:space="preserve"> </w:t>
      </w:r>
      <w:r>
        <w:t xml:space="preserve">20 kWh/year * 5 years * 0.238 kg CO2e/kWh = 23.80 kg 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from the disposal and recycling of the product at its end-of-life.</w:t>
      </w:r>
    </w:p>
    <w:p>
      <w:pPr>
        <w:numPr>
          <w:ilvl w:val="0"/>
          <w:numId w:val="1013"/>
        </w:numPr>
        <w:pStyle w:val="Compact"/>
      </w:pPr>
      <w:r>
        <w:t xml:space="preserve">Product Weight for EoL: 1.0 kg</w:t>
      </w:r>
    </w:p>
    <w:p>
      <w:pPr>
        <w:numPr>
          <w:ilvl w:val="0"/>
          <w:numId w:val="1013"/>
        </w:numPr>
        <w:pStyle w:val="Compact"/>
      </w:pPr>
      <w:r>
        <w:t xml:space="preserve">Recyclability Percentage: 70%</w:t>
      </w:r>
    </w:p>
    <w:p>
      <w:pPr>
        <w:numPr>
          <w:ilvl w:val="0"/>
          <w:numId w:val="1013"/>
        </w:numPr>
        <w:pStyle w:val="Compact"/>
      </w:pPr>
      <w:r>
        <w:t xml:space="preserve">Landfilled Percentage: 30%</w:t>
      </w:r>
    </w:p>
    <w:p>
      <w:pPr>
        <w:numPr>
          <w:ilvl w:val="0"/>
          <w:numId w:val="1013"/>
        </w:numPr>
        <w:pStyle w:val="Compact"/>
      </w:pPr>
      <w:r>
        <w:t xml:space="preserve">Emissions from recycling (benefit): 1.0 kg * 70% * (-1.0 kg CO2e/kg) = -0.70 kg CO2e</w:t>
      </w:r>
    </w:p>
    <w:p>
      <w:pPr>
        <w:numPr>
          <w:ilvl w:val="0"/>
          <w:numId w:val="1013"/>
        </w:numPr>
        <w:pStyle w:val="Compact"/>
      </w:pPr>
      <w:r>
        <w:t xml:space="preserve">Emissions from landfill: 1.0 kg * 30% * 0.033 kg CO2e/kg = 0.0099 kg CO2e</w:t>
      </w:r>
    </w:p>
    <w:p>
      <w:pPr>
        <w:numPr>
          <w:ilvl w:val="0"/>
          <w:numId w:val="1013"/>
        </w:numPr>
        <w:pStyle w:val="Compact"/>
      </w:pPr>
      <w:r>
        <w:rPr>
          <w:bCs/>
          <w:b/>
        </w:rPr>
        <w:t xml:space="preserve">Total Scope 3, Category 12 Emissions:</w:t>
      </w:r>
      <w:r>
        <w:t xml:space="preserve"> </w:t>
      </w:r>
      <w:r>
        <w:t xml:space="preserve">-0.70 + 0.0099 = -0.6901 kg CO2e/unit</w:t>
      </w:r>
    </w:p>
    <w:bookmarkEnd w:id="41"/>
    <w:bookmarkEnd w:id="42"/>
    <w:bookmarkStart w:id="43" w:name="Xf6fac3ccbedfcb553bf1ab9d001eea498ce30f3"/>
    <w:p>
      <w:pPr>
        <w:pStyle w:val="Heading3"/>
      </w:pPr>
      <w:r>
        <w:t xml:space="preserve">Summary of Emissions by Scope and Category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Production</w:t>
            </w:r>
          </w:p>
        </w:tc>
        <w:tc>
          <w:tcPr/>
          <w:p>
            <w:pPr>
              <w:pStyle w:val="Compact"/>
              <w:jc w:val="left"/>
            </w:pPr>
            <w:r>
              <w:t xml:space="preserve">2.885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1.55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0.10</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0.01</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23.80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-0.6901</w:t>
            </w:r>
          </w:p>
        </w:tc>
      </w:tr>
      <w:tr>
        <w:tc>
          <w:tcPr>
            <w:gridSpan w:val="3"/>
          </w:tcPr>
          <w:p>
            <w:pPr>
              <w:pStyle w:val="Compact"/>
              <w:jc w:val="right"/>
            </w:pPr>
            <w:r>
              <w:rPr>
                <w:bCs/>
                <w:b/>
              </w:rPr>
              <w:t xml:space="preserve">Total Product Carbon Footprint (kg CO2e/unit)</w:t>
            </w:r>
          </w:p>
        </w:tc>
        <w:tc>
          <w:tcPr/>
          <w:p>
            <w:pPr>
              <w:pStyle w:val="Compact"/>
              <w:jc w:val="left"/>
            </w:pPr>
            <w:r>
              <w:rPr>
                <w:bCs/>
                <w:b/>
              </w:rPr>
              <w:t xml:space="preserve">27.6549</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key emission hotspots for xgnwxqnrhw:</w:t>
      </w:r>
    </w:p>
    <w:p>
      <w:pPr>
        <w:numPr>
          <w:ilvl w:val="0"/>
          <w:numId w:val="1014"/>
        </w:numPr>
        <w:pStyle w:val="Compact"/>
      </w:pPr>
      <w:r>
        <w:rPr>
          <w:bCs/>
          <w:b/>
        </w:rPr>
        <w:t xml:space="preserve">Use Phase (Scope 3, Category 11):</w:t>
      </w:r>
      <w:r>
        <w:t xml:space="preserve"> </w:t>
      </w:r>
      <w:r>
        <w:t xml:space="preserve">This is the most significant hotspot, contributing approximately 86% of the total PCF, primarily due to the product\'s assumed energy consumption over its 5-year lifespan and the European electricity mix. This highlights the critical importance of energy efficiency in product design.</w:t>
      </w:r>
    </w:p>
    <w:p>
      <w:pPr>
        <w:numPr>
          <w:ilvl w:val="0"/>
          <w:numId w:val="1014"/>
        </w:numPr>
        <w:pStyle w:val="Compact"/>
      </w:pPr>
      <w:r>
        <w:rPr>
          <w:bCs/>
          <w:b/>
        </w:rPr>
        <w:t xml:space="preserve">Production Phase (Scope 2):</w:t>
      </w:r>
      <w:r>
        <w:t xml:space="preserve"> </w:t>
      </w:r>
      <w:r>
        <w:t xml:space="preserve">Purchased electricity for manufacturing in China accounts for approximately 10% of the total PCF. While 50% renewable energy is used, the remaining grid electricity\'s carbon intensity contributes substantially.</w:t>
      </w:r>
    </w:p>
    <w:p>
      <w:pPr>
        <w:numPr>
          <w:ilvl w:val="0"/>
          <w:numId w:val="1014"/>
        </w:numPr>
        <w:pStyle w:val="Compact"/>
      </w:pPr>
      <w:r>
        <w:rPr>
          <w:bCs/>
          <w:b/>
        </w:rPr>
        <w:t xml:space="preserve">Material Acquisition (Scope 3, Category 1):</w:t>
      </w:r>
      <w:r>
        <w:t xml:space="preserve"> </w:t>
      </w:r>
      <w:r>
        <w:t xml:space="preserve">Raw materials, particularly plastics, represent about 5.6% of the total PCF. Optimizing material selection and increasing recycled content could reduce this impact.</w:t>
      </w:r>
    </w:p>
    <w:p>
      <w:pPr>
        <w:numPr>
          <w:ilvl w:val="0"/>
          <w:numId w:val="1014"/>
        </w:numPr>
        <w:pStyle w:val="Compact"/>
      </w:pPr>
      <w:r>
        <w:rPr>
          <w:bCs/>
          <w:b/>
        </w:rPr>
        <w:t xml:space="preserve">End-of-Life (Scope 3, Category 12):</w:t>
      </w:r>
      <w:r>
        <w:t xml:space="preserve"> </w:t>
      </w:r>
      <w:r>
        <w:t xml:space="preserve">The high recyclability percentage and assumed avoided emissions result in a net negative impact for this stage, demonstrating the benefits of circular economy initiatives. Without robust recycling, this could easily become a positive emission source.</w:t>
      </w:r>
    </w:p>
    <w:bookmarkEnd w:id="45"/>
    <w:bookmarkStart w:id="46" w:name="reliability-and-data-quality"/>
    <w:p>
      <w:pPr>
        <w:pStyle w:val="Heading3"/>
      </w:pPr>
      <w:r>
        <w:t xml:space="preserve">5.2. Reliability and Data Quality</w:t>
      </w:r>
    </w:p>
    <w:p>
      <w:pPr>
        <w:pStyle w:val="FirstParagraph"/>
      </w:pPr>
      <w:r>
        <w:t xml:space="preserve">The reliability of this PCF analysis is contingent upon the accuracy of the provided and assumed data.</w:t>
      </w:r>
    </w:p>
    <w:p>
      <w:pPr>
        <w:numPr>
          <w:ilvl w:val="0"/>
          <w:numId w:val="1015"/>
        </w:numPr>
        <w:pStyle w:val="Compact"/>
      </w:pPr>
      <w:r>
        <w:rPr>
          <w:bCs/>
          <w:b/>
        </w:rPr>
        <w:t xml:space="preserve">Primary Data:</w:t>
      </w:r>
      <w:r>
        <w:t xml:space="preserve"> </w:t>
      </w:r>
      <w:r>
        <w:t xml:space="preserve">The report incorporates specific input parameters for BOM, transport, energy usage, lifespan, and EoL scenarios, which enhances accuracy compared to purely average data. However, the exact string "tfsgojww" for BOM and generic names for transport/delivery modes required illustrative interpretation.</w:t>
      </w:r>
    </w:p>
    <w:p>
      <w:pPr>
        <w:numPr>
          <w:ilvl w:val="0"/>
          <w:numId w:val="1015"/>
        </w:numPr>
        <w:pStyle w:val="Compact"/>
      </w:pPr>
      <w:r>
        <w:rPr>
          <w:bCs/>
          <w:b/>
        </w:rPr>
        <w:t xml:space="preserve">Secondary Data:</w:t>
      </w:r>
      <w:r>
        <w:t xml:space="preserve"> </w:t>
      </w:r>
      <w:r>
        <w:t xml:space="preserve">Industry-standard emission factors (e.g., for general plastics, steel, electricity grids, and transport) from reputable sources like Ecoinvent/DEFRA (or similar publicly available databases cited in the research) have been used where primary data was not available or to complement specific inputs.</w:t>
      </w:r>
    </w:p>
    <w:p>
      <w:pPr>
        <w:numPr>
          <w:ilvl w:val="0"/>
          <w:numId w:val="1015"/>
        </w:numPr>
        <w:pStyle w:val="Compact"/>
      </w:pPr>
      <w:r>
        <w:rPr>
          <w:bCs/>
          <w:b/>
        </w:rPr>
        <w:t xml:space="preserve">Assumptions:</w:t>
      </w:r>
      <w:r>
        <w:t xml:space="preserve"> </w:t>
      </w:r>
      <w:r>
        <w:t xml:space="preserve">Several assumptions were made for placeholder values (e.g., specific distances, exact material types within \'plastics\' and \'metals\', and EoL treatment beyond recycling) which introduce a degree of uncertainty. Future analyses would benefit from more granular, primary data for these parameters.</w:t>
      </w:r>
    </w:p>
    <w:bookmarkEnd w:id="46"/>
    <w:bookmarkStart w:id="47" w:name="X8877664c7f8833a514558f437f739c3634cd437"/>
    <w:p>
      <w:pPr>
        <w:pStyle w:val="Heading3"/>
      </w:pPr>
      <w:r>
        <w:t xml:space="preserve">5.3. Adherence to GHG Protocol and 2026 Updates</w:t>
      </w:r>
    </w:p>
    <w:p>
      <w:pPr>
        <w:pStyle w:val="FirstParagraph"/>
      </w:pPr>
      <w:r>
        <w:t xml:space="preserve">This analysis strictly adheres to the GHG Protocol\'s principles and categories for Scope 1, Scope 2, and Scope 3 emissions.</w:t>
      </w:r>
    </w:p>
    <w:p>
      <w:pPr>
        <w:numPr>
          <w:ilvl w:val="0"/>
          <w:numId w:val="1016"/>
        </w:numPr>
        <w:pStyle w:val="Compact"/>
      </w:pPr>
      <w:r>
        <w:rPr>
          <w:bCs/>
          <w:b/>
        </w:rPr>
        <w:t xml:space="preserve">2026 LSR Update:</w:t>
      </w:r>
      <w:r>
        <w:t xml:space="preserve"> </w:t>
      </w:r>
      <w:r>
        <w:t xml:space="preserve">The Land Sector and Removals (LSR) Standard, effective January 1, 2027, provides new accounting requirements for land emissions and CO2 removals. While detailed land-use change data was not provided for xgnwxqnrhw, this report acknowledges the LSR Standard and its upcoming implications for companies with significant land sector activities or those reporting CO2 removals. Further guidance is expected in Q2 2026.</w:t>
      </w:r>
    </w:p>
    <w:p>
      <w:pPr>
        <w:numPr>
          <w:ilvl w:val="0"/>
          <w:numId w:val="1016"/>
        </w:numPr>
        <w:pStyle w:val="Compact"/>
      </w:pPr>
      <w:r>
        <w:rPr>
          <w:bCs/>
          <w:b/>
        </w:rPr>
        <w:t xml:space="preserve">Scope 3 Compliance:</w:t>
      </w:r>
      <w:r>
        <w:t xml:space="preserve"> </w:t>
      </w:r>
      <w:r>
        <w:t xml:space="preserve">The report ensures at least 95% coverage for Scope 3 emissions, in line with the proposed 2026 requirements, by comprehensively assessing all relevant upstream and downstream value chain activities. All significant Scope 3 categories are included in the analysis.</w:t>
      </w:r>
    </w:p>
    <w:bookmarkEnd w:id="47"/>
    <w:bookmarkStart w:id="48" w:name="recommendations"/>
    <w:p>
      <w:pPr>
        <w:pStyle w:val="Heading3"/>
      </w:pPr>
      <w:r>
        <w:t xml:space="preserve">5.4. Recommendations</w:t>
      </w:r>
    </w:p>
    <w:p>
      <w:pPr>
        <w:pStyle w:val="FirstParagraph"/>
      </w:pPr>
      <w:r>
        <w:t xml:space="preserve">Based on this PCF analysis, lvwuxmvkxl should focus its decarbonization efforts on:</w:t>
      </w:r>
    </w:p>
    <w:p>
      <w:pPr>
        <w:numPr>
          <w:ilvl w:val="0"/>
          <w:numId w:val="1017"/>
        </w:numPr>
        <w:pStyle w:val="Compact"/>
      </w:pPr>
      <w:r>
        <w:rPr>
          <w:bCs/>
          <w:b/>
        </w:rPr>
        <w:t xml:space="preserve">Enhancing Use Phase Efficiency:</w:t>
      </w:r>
      <w:r>
        <w:t xml:space="preserve"> </w:t>
      </w:r>
      <w:r>
        <w:t xml:space="preserve">Given its dominance as an emission hotspot, prioritize reducing the energy consumption of xgnwxqnrhw during its use phase through design improvements, user behavior guidance, or optimizing energy modes.</w:t>
      </w:r>
    </w:p>
    <w:p>
      <w:pPr>
        <w:numPr>
          <w:ilvl w:val="0"/>
          <w:numId w:val="1017"/>
        </w:numPr>
        <w:pStyle w:val="Compact"/>
      </w:pPr>
      <w:r>
        <w:rPr>
          <w:bCs/>
          <w:b/>
        </w:rPr>
        <w:t xml:space="preserve">Decarbonizing Production Energy:</w:t>
      </w:r>
      <w:r>
        <w:t xml:space="preserve"> </w:t>
      </w:r>
      <w:r>
        <w:t xml:space="preserve">Increase the percentage of renewable energy used in production facilities in China beyond the current 50%, or invest in projects that directly reduce the carbon intensity of the local grid.</w:t>
      </w:r>
    </w:p>
    <w:p>
      <w:pPr>
        <w:numPr>
          <w:ilvl w:val="0"/>
          <w:numId w:val="1017"/>
        </w:numPr>
        <w:pStyle w:val="Compact"/>
      </w:pPr>
      <w:r>
        <w:rPr>
          <w:bCs/>
          <w:b/>
        </w:rPr>
        <w:t xml:space="preserve">Material Optimization:</w:t>
      </w:r>
      <w:r>
        <w:t xml:space="preserve"> </w:t>
      </w:r>
      <w:r>
        <w:t xml:space="preserve">Explore alternative, lower-carbon materials or increase the recycled content in the plastic and metal components of xgnwxqnrhw to further reduce upstream emissions.</w:t>
      </w:r>
    </w:p>
    <w:p>
      <w:pPr>
        <w:numPr>
          <w:ilvl w:val="0"/>
          <w:numId w:val="1017"/>
        </w:numPr>
        <w:pStyle w:val="Compact"/>
      </w:pPr>
      <w:r>
        <w:rPr>
          <w:bCs/>
          <w:b/>
        </w:rPr>
        <w:t xml:space="preserve">Strengthening Circularity:</w:t>
      </w:r>
      <w:r>
        <w:t xml:space="preserve"> </w:t>
      </w:r>
      <w:r>
        <w:t xml:space="preserve">Continue to expand and promote circular/take-back programs, ensuring high recycling rates and exploring opportunities for product refurbishment or reuse to maximize end-of-life benefits.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xgnwxqnrhw</dc:title>
  <dc:creator/>
  <dc:description>High-detail Product Carbon Footprint (PCF) analysis for xgnwxqnrhw, following GHG Protocol standards, for company lvwuxmvkxl by Senior Sustainability Consultant prqssjyrqh.</dc:description>
  <dc:language>en</dc:language>
  <cp:keywords/>
  <dcterms:created xsi:type="dcterms:W3CDTF">2026-07-15T15:35:43Z</dcterms:created>
  <dcterms:modified xsi:type="dcterms:W3CDTF">2026-07-15T15:35:43Z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