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xevhsqrhdu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xevhsqrhdu</w:t>
      </w:r>
    </w:p>
    <w:p>
      <w:pPr>
        <w:pStyle w:val="BodyText"/>
      </w:pPr>
      <w:r>
        <w:rPr>
          <w:bCs/>
          <w:b/>
        </w:rPr>
        <w:t xml:space="preserve">Company Name:</w:t>
      </w:r>
      <w:r>
        <w:t xml:space="preserve"> </w:t>
      </w:r>
      <w:r>
        <w:t xml:space="preserve">feuziplfyw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gitsmufpuy</w:t>
      </w:r>
    </w:p>
    <w:p>
      <w:pPr>
        <w:pStyle w:val="BodyText"/>
      </w:pPr>
      <w:r>
        <w:t xml:space="preserve">This report is generated based on available data and industry standards. The emission factors and some activity data are illustrative due to placeholder inputs and should be replaced with primary data for utmost accuracy.</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xevhsqrhdu, manufactured by feuziplfyw. The analysis adheres to the Greenhouse Gas (GHG) Protocol standards, encompassing a comprehensive cradle-to-grave lifecycle assessment. It aims to quantify the total greenhouse gas emissions, expressed in kilograms of carbon dioxide equivalents (kg CO2e), associated with the product from raw material extraction through manufacturing, distribution, consumer use, and end-of-life disposal. Key emission hotspots are identified across the value chain to inform strategic decarbonization efforts and enhance sustainability performance.</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As a Senior Sustainability Consultant specializing in the GHG Protocol, I, gitsmufpuy, have conducted a detailed Product Carbon Footprint (PCF) analysis for the product xevhsqrhdu, on behalf of feuziplfyw. This assessment is critical for understanding the environmental impact of the product across its entire lifecycle and for aligning with evolving global sustainability reporting requirements.</w:t>
      </w:r>
    </w:p>
    <w:p>
      <w:pPr>
        <w:pStyle w:val="BodyText"/>
      </w:pPr>
      <w:r>
        <w:t xml:space="preserve">The accounting standard applied for this analysis is the</w:t>
      </w:r>
      <w:r>
        <w:t xml:space="preserve"> </w:t>
      </w:r>
      <w:r>
        <w:rPr>
          <w:bCs/>
          <w:b/>
        </w:rPr>
        <w:t xml:space="preserve">GHG Protocol</w:t>
      </w:r>
      <w:r>
        <w:t xml:space="preserve">, which provides the world\'s most widely used greenhouse gas accounting standards. This report explicitly categorizes emissions into Scope 1 (direct), Scope 2 (purchased energy), and Scope 3 (value chain) to ensure comprehensive and transparent reporting.</w:t>
      </w:r>
    </w:p>
    <w:p>
      <w:pPr>
        <w:pStyle w:val="BodyText"/>
      </w:pPr>
      <w:r>
        <w:t xml:space="preserve">Furthermore, this analysis incorporates the principles of the</w:t>
      </w:r>
      <w:r>
        <w:t xml:space="preserve"> </w:t>
      </w:r>
      <w:r>
        <w:rPr>
          <w:bCs/>
          <w:b/>
        </w:rPr>
        <w:t xml:space="preserve">2026 Land Sector and Removals (LSR) Standard Update</w:t>
      </w:r>
      <w:r>
        <w:t xml:space="preserve"> </w:t>
      </w:r>
      <w:r>
        <w:t xml:space="preserve">for land use and carbon removals, which takes effect on January 1, 2027. It also aims for at least</w:t>
      </w:r>
      <w:r>
        <w:t xml:space="preserve"> </w:t>
      </w:r>
      <w:r>
        <w:rPr>
          <w:bCs/>
          <w:b/>
        </w:rPr>
        <w:t xml:space="preserve">95% coverage for Scope 3 reporting</w:t>
      </w:r>
      <w:r>
        <w:t xml:space="preserve">, aligning with anticipated 2026 requirements for enhanced completeness and data quality.</w:t>
      </w:r>
    </w:p>
    <w:p>
      <w:r>
        <w:pict>
          <v:rect style="width:0;height:1.5pt" o:hralign="center" o:hrstd="t" o:hr="t"/>
        </w:pict>
      </w:r>
    </w:p>
    <w:bookmarkEnd w:id="22"/>
    <w:bookmarkStart w:id="48" w:name="methodology"/>
    <w:p>
      <w:pPr>
        <w:pStyle w:val="Heading2"/>
      </w:pPr>
      <w:r>
        <w:t xml:space="preserve">Methodology</w:t>
      </w:r>
    </w:p>
    <w:p>
      <w:pPr>
        <w:pStyle w:val="FirstParagraph"/>
      </w:pPr>
      <w:r>
        <w:t xml:space="preserve">The Product Carbon Footprint (PCF) for xevhsqrhdu was calculated following the GHG Protocol Product Life Cycle Accounting and Reporting Standard. The methodology involves a systematic five-step process:</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study is 1.0 unit of xevhsqrhdu.</w:t>
      </w:r>
    </w:p>
    <w:p>
      <w:pPr>
        <w:numPr>
          <w:ilvl w:val="0"/>
          <w:numId w:val="1001"/>
        </w:numPr>
        <w:pStyle w:val="Compact"/>
      </w:pPr>
      <w:r>
        <w:rPr>
          <w:bCs/>
          <w:b/>
        </w:rPr>
        <w:t xml:space="preserve">System Boundary:</w:t>
      </w:r>
      <w:r>
        <w:t xml:space="preserve"> </w:t>
      </w:r>
      <w:r>
        <w:t xml:space="preserve">While the parameter initially indicated "factory_gate," a comprehensive Product Carbon Footprint (PCF) analysis, especially when considering use phase and end-of-life scenarios as explicitly requested, necessitates a</w:t>
      </w:r>
      <w:r>
        <w:t xml:space="preserve"> </w:t>
      </w:r>
      <w:r>
        <w:rPr>
          <w:bCs/>
          <w:b/>
        </w:rPr>
        <w:t xml:space="preserve">"cradle-to-grave"</w:t>
      </w:r>
      <w:r>
        <w:t xml:space="preserve"> </w:t>
      </w:r>
      <w:r>
        <w:t xml:space="preserve">approach. This means the assessment covers the entire product lifecycle, from raw material extraction to final disposal. Therefore, this report adopts a cradle-to-grave boundary, encompassing raw material acquisition, manufacturing, transport, use,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raw material sourcing and distribution)</w:t>
      </w:r>
    </w:p>
    <w:p>
      <w:pPr>
        <w:numPr>
          <w:ilvl w:val="0"/>
          <w:numId w:val="1001"/>
        </w:numPr>
        <w:pStyle w:val="Compact"/>
      </w:pPr>
      <w:r>
        <w:rPr>
          <w:bCs/>
          <w:b/>
        </w:rPr>
        <w:t xml:space="preserve">Allocation:</w:t>
      </w:r>
      <w:r>
        <w:t xml:space="preserve"> </w:t>
      </w:r>
      <w:r>
        <w:t xml:space="preserve">Emissions from shared processes (e.g., co-products) are allocated based on physical parameters where applicable. Given the placeholder data, a direct mass-based allocation is assumed for simplicity in material impacts.</w:t>
      </w:r>
    </w:p>
    <w:p>
      <w:pPr>
        <w:numPr>
          <w:ilvl w:val="0"/>
          <w:numId w:val="1001"/>
        </w:numPr>
        <w:pStyle w:val="Compact"/>
      </w:pPr>
      <w:r>
        <w:rPr>
          <w:bCs/>
          <w:b/>
        </w:rPr>
        <w:t xml:space="preserve">Accounting Standard:</w:t>
      </w:r>
      <w:r>
        <w:t xml:space="preserve"> </w:t>
      </w:r>
      <w:r>
        <w:t xml:space="preserve">GHG Protocol Product Life Cycle Accounting and Reporting Standard.</w:t>
      </w:r>
    </w:p>
    <w:bookmarkEnd w:id="23"/>
    <w:bookmarkStart w:id="24" w:name="map-lifecycle-lci-inventory-stages"/>
    <w:p>
      <w:pPr>
        <w:pStyle w:val="Heading3"/>
      </w:pPr>
      <w:r>
        <w:t xml:space="preserve">2. Map Lifecycle (LCI Inventory Stages)</w:t>
      </w:r>
    </w:p>
    <w:p>
      <w:pPr>
        <w:pStyle w:val="FirstParagraph"/>
      </w:pPr>
      <w:r>
        <w:t xml:space="preserve">The lifecycle of xevhsqrhdu is mapped through the following stages, representing the Life Cycle Inventory (LCI):</w:t>
      </w:r>
    </w:p>
    <w:p>
      <w:pPr>
        <w:numPr>
          <w:ilvl w:val="0"/>
          <w:numId w:val="1003"/>
        </w:numPr>
        <w:pStyle w:val="Compact"/>
      </w:pPr>
      <w:r>
        <w:rPr>
          <w:bCs/>
          <w:b/>
        </w:rPr>
        <w:t xml:space="preserve">Raw Material Acquisition &amp; Pre-processing:</w:t>
      </w:r>
      <w:r>
        <w:t xml:space="preserve"> </w:t>
      </w:r>
      <w:r>
        <w:t xml:space="preserve">Extraction, cultivation, and processing of all raw materials required for the product components.</w:t>
      </w:r>
    </w:p>
    <w:p>
      <w:pPr>
        <w:numPr>
          <w:ilvl w:val="0"/>
          <w:numId w:val="1003"/>
        </w:numPr>
        <w:pStyle w:val="Compact"/>
      </w:pPr>
      <w:r>
        <w:rPr>
          <w:bCs/>
          <w:b/>
        </w:rPr>
        <w:t xml:space="preserve">Manufacturing:</w:t>
      </w:r>
      <w:r>
        <w:t xml:space="preserve"> </w:t>
      </w:r>
      <w:r>
        <w:t xml:space="preserve">Production processes at the feuziplfyw facility in China, including energy consumption and process emissions.</w:t>
      </w:r>
    </w:p>
    <w:p>
      <w:pPr>
        <w:numPr>
          <w:ilvl w:val="0"/>
          <w:numId w:val="1003"/>
        </w:numPr>
        <w:pStyle w:val="Compact"/>
      </w:pPr>
      <w:r>
        <w:rPr>
          <w:bCs/>
          <w:b/>
        </w:rPr>
        <w:t xml:space="preserve">Transportation &amp; Distribution:</w:t>
      </w:r>
      <w:r>
        <w:t xml:space="preserve"> </w:t>
      </w:r>
      <w:r>
        <w:t xml:space="preserve">Inbound logistics of raw materials to the factory, and outbound logistics of the finished product to the end-consumer.</w:t>
      </w:r>
    </w:p>
    <w:p>
      <w:pPr>
        <w:numPr>
          <w:ilvl w:val="0"/>
          <w:numId w:val="1003"/>
        </w:numPr>
        <w:pStyle w:val="Compact"/>
      </w:pPr>
      <w:r>
        <w:rPr>
          <w:bCs/>
          <w:b/>
        </w:rPr>
        <w:t xml:space="preserve">Use Phase:</w:t>
      </w:r>
      <w:r>
        <w:t xml:space="preserve"> </w:t>
      </w:r>
      <w:r>
        <w:t xml:space="preserve">Energy consumption and other impacts during the typical lifespan of the product by the consumer.</w:t>
      </w:r>
    </w:p>
    <w:p>
      <w:pPr>
        <w:numPr>
          <w:ilvl w:val="0"/>
          <w:numId w:val="1003"/>
        </w:numPr>
        <w:pStyle w:val="Compact"/>
      </w:pPr>
      <w:r>
        <w:rPr>
          <w:bCs/>
          <w:b/>
        </w:rPr>
        <w:t xml:space="preserve">End-of-Life (EoL):</w:t>
      </w:r>
      <w:r>
        <w:t xml:space="preserve"> </w:t>
      </w:r>
      <w:r>
        <w:t xml:space="preserve">Collection, recycling, landfilling, or incineration processes for the product and its packaging after its useful life.</w:t>
      </w:r>
    </w:p>
    <w:bookmarkEnd w:id="24"/>
    <w:bookmarkStart w:id="30" w:name="Xb57f50a89bf1f3f1837369be949d9d60d6c1272"/>
    <w:p>
      <w:pPr>
        <w:pStyle w:val="Heading3"/>
      </w:pPr>
      <w:r>
        <w:t xml:space="preserve">3. Collect Data (Primary/Secondary Data Points)</w:t>
      </w:r>
    </w:p>
    <w:p>
      <w:pPr>
        <w:pStyle w:val="FirstParagraph"/>
      </w:pPr>
      <w:r>
        <w:t xml:space="preserve">Data was collected from primary (provided parameters) and secondary sources (industry-standard emission factors from Ecoinvent/DEFRA, where specific data was not available). Due to the placeholder nature of some provided parameters, illustrative data has been used to demonstrate the calculation methodology. These values should be replaced with actual company-specific data for a definitive PCF. The following key data points were utilized:</w:t>
      </w:r>
    </w:p>
    <w:bookmarkStart w:id="25" w:name="X97d34a4e107674f0f8b0dc154e6ab9cd84d5362"/>
    <w:p>
      <w:pPr>
        <w:pStyle w:val="Heading4"/>
      </w:pPr>
      <w:r>
        <w:t xml:space="preserve">Detailed Bill of Materials (BOM) - Illustrative Data</w:t>
      </w:r>
    </w:p>
    <w:p>
      <w:pPr>
        <w:pStyle w:val="FirstParagraph"/>
      </w:pPr>
      <w:r>
        <w:t xml:space="preserve">The provided BOM (swpnmqlq) has been interpreted with illustrative quantities and emission factors to demonstrate material impact calculation. These emission factors are generalized industry averages.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0.94</w:t>
            </w:r>
          </w:p>
        </w:tc>
        <w:tc>
          <w:tcPr/>
          <w:p>
            <w:pPr>
              <w:pStyle w:val="Compact"/>
              <w:jc w:val="left"/>
            </w:pPr>
            <w:r>
              <w:t xml:space="preserve">0.14</w:t>
            </w:r>
          </w:p>
        </w:tc>
      </w:tr>
    </w:tbl>
    <w:p>
      <w:pPr>
        <w:pStyle w:val="BodyText"/>
      </w:pPr>
      <w:r>
        <w:rPr>
          <w:iCs/>
          <w:i/>
        </w:rPr>
        <w:t xml:space="preserve">Note: Emission factors for plastic casing, aluminum frame, and electronic components are illustrative industry estimates due to the placeholder nature of the input. The cardboard emission factor is a common cradle-to-grave average.</w:t>
      </w:r>
    </w:p>
    <w:bookmarkEnd w:id="25"/>
    <w:bookmarkStart w:id="26" w:name="manufacturing-energy---illustrative-data"/>
    <w:p>
      <w:pPr>
        <w:pStyle w:val="Heading4"/>
      </w:pPr>
      <w:r>
        <w:t xml:space="preserve">Manufacturing Energy - Illustrative Data</w:t>
      </w:r>
    </w:p>
    <w:p>
      <w:pPr>
        <w:numPr>
          <w:ilvl w:val="0"/>
          <w:numId w:val="1004"/>
        </w:numPr>
        <w:pStyle w:val="Compact"/>
      </w:pPr>
      <w:r>
        <w:t xml:space="preserve">Renewable Energy Usage (fhpmjyfnkn): 60%</w:t>
      </w:r>
    </w:p>
    <w:p>
      <w:pPr>
        <w:numPr>
          <w:ilvl w:val="0"/>
          <w:numId w:val="1004"/>
        </w:numPr>
        <w:pStyle w:val="Compact"/>
      </w:pPr>
      <w:r>
        <w:t xml:space="preserve">Energy Intensity (kWh/unit) (oysmsvftme): 15 kWh/unit</w:t>
      </w:r>
    </w:p>
    <w:p>
      <w:pPr>
        <w:numPr>
          <w:ilvl w:val="0"/>
          <w:numId w:val="1004"/>
        </w:numPr>
        <w:pStyle w:val="Compact"/>
      </w:pPr>
      <w:r>
        <w:t xml:space="preserve">Grid Electricity Emission Factor (China): 0.57 kgCO2e/kWh (Average for China grid mix, considering variations reported by MEE/IEA).</w:t>
      </w:r>
    </w:p>
    <w:bookmarkEnd w:id="26"/>
    <w:bookmarkStart w:id="27" w:name="transport-logistics---illustrative-data"/>
    <w:p>
      <w:pPr>
        <w:pStyle w:val="Heading4"/>
      </w:pPr>
      <w:r>
        <w:t xml:space="preserve">Transport Logistics - Illustrative Data</w:t>
      </w:r>
    </w:p>
    <w:p>
      <w:pPr>
        <w:pStyle w:val="FirstParagraph"/>
      </w:pPr>
      <w:r>
        <w:t xml:space="preserve">The provided transport parameters (Select Mode, nvolvghfqd, Delivery Type) have been interpreted with illustrative values and emission factors.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Weight (kg/unit)</w:t>
            </w:r>
          </w:p>
        </w:tc>
        <w:tc>
          <w:tcPr/>
          <w:p>
            <w:pPr>
              <w:pStyle w:val="Compact"/>
              <w:jc w:val="left"/>
            </w:pPr>
            <w:r>
              <w:t xml:space="preserve">Load Factor Assumption</w:t>
            </w:r>
          </w:p>
        </w:tc>
        <w:tc>
          <w:tcPr/>
          <w:p>
            <w:pPr>
              <w:pStyle w:val="Compact"/>
              <w:jc w:val="left"/>
            </w:pPr>
            <w:r>
              <w:t xml:space="preserve">Emission Factor (kgCO2e/tkm or kgCO2e/km)</w:t>
            </w:r>
          </w:p>
        </w:tc>
        <w:tc>
          <w:tcPr/>
          <w:p>
            <w:pPr>
              <w:pStyle w:val="Compact"/>
              <w:jc w:val="left"/>
            </w:pPr>
            <w:r>
              <w:t xml:space="preserve">Total Carbon (kgCO2e)</w:t>
            </w:r>
          </w:p>
        </w:tc>
      </w:tr>
      <w:tr>
        <w:tc>
          <w:tcPr/>
          <w:p>
            <w:pPr>
              <w:pStyle w:val="Compact"/>
              <w:jc w:val="left"/>
            </w:pPr>
            <w:r>
              <w:t xml:space="preserve">Raw Materials (Upstream)</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0.80 (for components)</w:t>
            </w:r>
          </w:p>
        </w:tc>
        <w:tc>
          <w:tcPr/>
          <w:p>
            <w:pPr>
              <w:pStyle w:val="Compact"/>
              <w:jc w:val="left"/>
            </w:pPr>
            <w:r>
              <w:t xml:space="preserve">Typical Container Load</w:t>
            </w:r>
          </w:p>
        </w:tc>
        <w:tc>
          <w:tcPr/>
          <w:p>
            <w:pPr>
              <w:pStyle w:val="Compact"/>
              <w:jc w:val="left"/>
            </w:pPr>
            <w:r>
              <w:t xml:space="preserve">0.016 kgCO2e/tkm</w:t>
            </w:r>
          </w:p>
        </w:tc>
        <w:tc>
          <w:tcPr/>
          <w:p>
            <w:pPr>
              <w:pStyle w:val="Compact"/>
              <w:jc w:val="left"/>
            </w:pPr>
            <w:r>
              <w:t xml:space="preserve">0.19</w:t>
            </w:r>
          </w:p>
        </w:tc>
      </w:tr>
      <w:tr>
        <w:tc>
          <w:tcPr/>
          <w:p>
            <w:pPr>
              <w:pStyle w:val="Compact"/>
              <w:jc w:val="left"/>
            </w:pPr>
            <w:r>
              <w:t xml:space="preserve">Finished Product (Distribution to EU)</w:t>
            </w:r>
          </w:p>
        </w:tc>
        <w:tc>
          <w:tcPr/>
          <w:p>
            <w:pPr>
              <w:pStyle w:val="Compact"/>
              <w:jc w:val="left"/>
            </w:pPr>
            <w:r>
              <w:t xml:space="preserve">Ocean Freight</w:t>
            </w:r>
          </w:p>
        </w:tc>
        <w:tc>
          <w:tcPr/>
          <w:p>
            <w:pPr>
              <w:pStyle w:val="Compact"/>
              <w:jc w:val="left"/>
            </w:pPr>
            <w:r>
              <w:t xml:space="preserve">18,000</w:t>
            </w:r>
          </w:p>
        </w:tc>
        <w:tc>
          <w:tcPr/>
          <w:p>
            <w:pPr>
              <w:pStyle w:val="Compact"/>
              <w:jc w:val="left"/>
            </w:pPr>
            <w:r>
              <w:t xml:space="preserve">0.95 (product + packaging)</w:t>
            </w:r>
          </w:p>
        </w:tc>
        <w:tc>
          <w:tcPr/>
          <w:p>
            <w:pPr>
              <w:pStyle w:val="Compact"/>
              <w:jc w:val="left"/>
            </w:pPr>
            <w:r>
              <w:t xml:space="preserve">Typical Container Load</w:t>
            </w:r>
          </w:p>
        </w:tc>
        <w:tc>
          <w:tcPr/>
          <w:p>
            <w:pPr>
              <w:pStyle w:val="Compact"/>
              <w:jc w:val="left"/>
            </w:pPr>
            <w:r>
              <w:t xml:space="preserve">0.016 kgCO2e/tkm</w:t>
            </w:r>
          </w:p>
        </w:tc>
        <w:tc>
          <w:tcPr/>
          <w:p>
            <w:pPr>
              <w:pStyle w:val="Compact"/>
              <w:jc w:val="left"/>
            </w:pPr>
            <w:r>
              <w:t xml:space="preserve">0.27</w:t>
            </w:r>
          </w:p>
        </w:tc>
      </w:tr>
      <w:tr>
        <w:tc>
          <w:tcPr/>
          <w:p>
            <w:pPr>
              <w:pStyle w:val="Compact"/>
              <w:jc w:val="left"/>
            </w:pPr>
            <w:r>
              <w:t xml:space="preserve">Distribution (EU Hub to Regional)</w:t>
            </w:r>
          </w:p>
        </w:tc>
        <w:tc>
          <w:tcPr/>
          <w:p>
            <w:pPr>
              <w:pStyle w:val="Compact"/>
              <w:jc w:val="left"/>
            </w:pPr>
            <w:r>
              <w:t xml:space="preserve">Road Freight (Truck)</w:t>
            </w:r>
          </w:p>
        </w:tc>
        <w:tc>
          <w:tcPr/>
          <w:p>
            <w:pPr>
              <w:pStyle w:val="Compact"/>
              <w:jc w:val="left"/>
            </w:pPr>
            <w:r>
              <w:t xml:space="preserve">500</w:t>
            </w:r>
          </w:p>
        </w:tc>
        <w:tc>
          <w:tcPr/>
          <w:p>
            <w:pPr>
              <w:pStyle w:val="Compact"/>
              <w:jc w:val="left"/>
            </w:pPr>
            <w:r>
              <w:t xml:space="preserve">0.95 (product + packaging)</w:t>
            </w:r>
          </w:p>
        </w:tc>
        <w:tc>
          <w:tcPr/>
          <w:p>
            <w:pPr>
              <w:pStyle w:val="Compact"/>
              <w:jc w:val="left"/>
            </w:pPr>
            <w:r>
              <w:t xml:space="preserve">Average Truck Load</w:t>
            </w:r>
          </w:p>
        </w:tc>
        <w:tc>
          <w:tcPr/>
          <w:p>
            <w:pPr>
              <w:pStyle w:val="Compact"/>
              <w:jc w:val="left"/>
            </w:pPr>
            <w:r>
              <w:t xml:space="preserve">0.09 kgCO2e/tkm (illustrative average)</w:t>
            </w:r>
          </w:p>
        </w:tc>
        <w:tc>
          <w:tcPr/>
          <w:p>
            <w:pPr>
              <w:pStyle w:val="Compact"/>
              <w:jc w:val="left"/>
            </w:pPr>
            <w:r>
              <w:t xml:space="preserve">0.04</w:t>
            </w:r>
          </w:p>
        </w:tc>
      </w:tr>
      <w:tr>
        <w:tc>
          <w:tcPr/>
          <w:p>
            <w:pPr>
              <w:pStyle w:val="Compact"/>
              <w:jc w:val="left"/>
            </w:pPr>
            <w:r>
              <w:t xml:space="preserve">Last-Mile Delivery (Delivery Type)</w:t>
            </w:r>
          </w:p>
        </w:tc>
        <w:tc>
          <w:tcPr/>
          <w:p>
            <w:pPr>
              <w:pStyle w:val="Compact"/>
              <w:jc w:val="left"/>
            </w:pPr>
            <w:r>
              <w:t xml:space="preserve">Van Delivery</w:t>
            </w:r>
          </w:p>
        </w:tc>
        <w:tc>
          <w:tcPr/>
          <w:p>
            <w:pPr>
              <w:pStyle w:val="Compact"/>
              <w:jc w:val="left"/>
            </w:pPr>
            <w:r>
              <w:t xml:space="preserve">50</w:t>
            </w:r>
          </w:p>
        </w:tc>
        <w:tc>
          <w:tcPr/>
          <w:p>
            <w:pPr>
              <w:pStyle w:val="Compact"/>
              <w:jc w:val="left"/>
            </w:pPr>
            <w:r>
              <w:t xml:space="preserve">0.95 (product + packaging)</w:t>
            </w:r>
          </w:p>
        </w:tc>
        <w:tc>
          <w:tcPr/>
          <w:p>
            <w:pPr>
              <w:pStyle w:val="Compact"/>
              <w:jc w:val="left"/>
            </w:pPr>
            <w:r>
              <w:t xml:space="preserve">Per-km factor for van</w:t>
            </w:r>
          </w:p>
        </w:tc>
        <w:tc>
          <w:tcPr/>
          <w:p>
            <w:pPr>
              <w:pStyle w:val="Compact"/>
              <w:jc w:val="left"/>
            </w:pPr>
            <w:r>
              <w:t xml:space="preserve">0.24934 kgCO2e/km</w:t>
            </w:r>
          </w:p>
        </w:tc>
        <w:tc>
          <w:tcPr/>
          <w:p>
            <w:pPr>
              <w:pStyle w:val="Compact"/>
              <w:jc w:val="left"/>
            </w:pPr>
            <w:r>
              <w:t xml:space="preserve">0.01</w:t>
            </w:r>
          </w:p>
        </w:tc>
      </w:tr>
    </w:tbl>
    <w:p>
      <w:pPr>
        <w:pStyle w:val="BodyText"/>
      </w:pPr>
      <w:r>
        <w:rPr>
          <w:iCs/>
          <w:i/>
        </w:rPr>
        <w:t xml:space="preserve">Note: Weights for transport are per unit of product. For simplification, the total weight of components (0.8kg) and finished product (0.95kg including packaging) is used for tonne-kilometer calculation. Last-mile is assumed as a per-km factor.</w:t>
      </w:r>
    </w:p>
    <w:bookmarkEnd w:id="27"/>
    <w:bookmarkStart w:id="28" w:name="use-phase---illustrative-data"/>
    <w:p>
      <w:pPr>
        <w:pStyle w:val="Heading4"/>
      </w:pPr>
      <w:r>
        <w:t xml:space="preserve">Use Phase - Illustrative Data</w:t>
      </w:r>
    </w:p>
    <w:p>
      <w:pPr>
        <w:numPr>
          <w:ilvl w:val="0"/>
          <w:numId w:val="1005"/>
        </w:numPr>
        <w:pStyle w:val="Compact"/>
      </w:pPr>
      <w:r>
        <w:t xml:space="preserve">Product Lifespan (gyhvoslmkh): 5 years</w:t>
      </w:r>
    </w:p>
    <w:p>
      <w:pPr>
        <w:numPr>
          <w:ilvl w:val="0"/>
          <w:numId w:val="1005"/>
        </w:numPr>
        <w:pStyle w:val="Compact"/>
      </w:pPr>
      <w:r>
        <w:t xml:space="preserve">Energy Consumption in Use (nruephfdei): 10 kWh/year</w:t>
      </w:r>
    </w:p>
    <w:p>
      <w:pPr>
        <w:numPr>
          <w:ilvl w:val="0"/>
          <w:numId w:val="1005"/>
        </w:numPr>
        <w:pStyle w:val="Compact"/>
      </w:pPr>
      <w:r>
        <w:t xml:space="preserve">Electricity Grid Emission Factor (Assumed EU Average for Use Phase): 0.28 kgCO2e/kWh (Illustrative, highly variable by country)</w:t>
      </w:r>
    </w:p>
    <w:bookmarkEnd w:id="28"/>
    <w:bookmarkStart w:id="29" w:name="X7abd417dfe3b379588f867e08290dad5a18d10a"/>
    <w:p>
      <w:pPr>
        <w:pStyle w:val="Heading4"/>
      </w:pPr>
      <w:r>
        <w:t xml:space="preserve">End-of-Life (EoL) Scenarios - Illustrative Data</w:t>
      </w:r>
    </w:p>
    <w:p>
      <w:pPr>
        <w:numPr>
          <w:ilvl w:val="0"/>
          <w:numId w:val="1006"/>
        </w:numPr>
        <w:pStyle w:val="Compact"/>
      </w:pPr>
      <w:r>
        <w:t xml:space="preserve">Recyclability Percentage (tknuolkelw): 80% (of total product mass)</w:t>
      </w:r>
    </w:p>
    <w:p>
      <w:pPr>
        <w:numPr>
          <w:ilvl w:val="0"/>
          <w:numId w:val="1006"/>
        </w:numPr>
        <w:pStyle w:val="Compact"/>
      </w:pPr>
      <w:r>
        <w:t xml:space="preserve">Circular/Take-back Programs (mwwfdyrtlg): Yes (Assumed 15% of product mass enters enhanced take-back/remanufacturing, 65% for standard recycling, 20% to landfill for remaining non-recyclable parts)</w:t>
      </w:r>
    </w:p>
    <w:p>
      <w:pPr>
        <w:numPr>
          <w:ilvl w:val="0"/>
          <w:numId w:val="1006"/>
        </w:numPr>
        <w:pStyle w:val="Compact"/>
      </w:pPr>
      <w:r>
        <w:t xml:space="preserve">EoL Emission Factors (illustrative):</w:t>
      </w:r>
    </w:p>
    <w:p>
      <w:pPr>
        <w:numPr>
          <w:ilvl w:val="1"/>
          <w:numId w:val="1007"/>
        </w:numPr>
        <w:pStyle w:val="Compact"/>
      </w:pPr>
      <w:r>
        <w:t xml:space="preserve">Recycling (average benefit): -1.0 kgCO2e/kg (credit for avoided virgin material)</w:t>
      </w:r>
    </w:p>
    <w:p>
      <w:pPr>
        <w:numPr>
          <w:ilvl w:val="1"/>
          <w:numId w:val="1007"/>
        </w:numPr>
        <w:pStyle w:val="Compact"/>
      </w:pPr>
      <w:r>
        <w:t xml:space="preserve">Landfill: 0.1 kgCO2e/kg (emissions from decomposition)</w:t>
      </w:r>
    </w:p>
    <w:p>
      <w:pPr>
        <w:numPr>
          <w:ilvl w:val="1"/>
          <w:numId w:val="1007"/>
        </w:numPr>
        <w:pStyle w:val="Compact"/>
      </w:pPr>
      <w:r>
        <w:t xml:space="preserve">Incineration: 0.5 kgCO2e/kg (emissions from burning, typically lower for energy recovery)</w:t>
      </w:r>
    </w:p>
    <w:bookmarkEnd w:id="29"/>
    <w:bookmarkEnd w:id="30"/>
    <w:bookmarkStart w:id="41" w:name="Xb404f6bea4a0013006ec7a9103609d9ea6643c1"/>
    <w:p>
      <w:pPr>
        <w:pStyle w:val="Heading3"/>
      </w:pPr>
      <w:r>
        <w:t xml:space="preserve">4. Calculate Emissions (Activity * Emission Factor = CO2e)</w:t>
      </w:r>
    </w:p>
    <w:p>
      <w:pPr>
        <w:pStyle w:val="FirstParagraph"/>
      </w:pPr>
      <w:r>
        <w:t xml:space="preserve">Emissions are calculated for each stage by multiplying activity data (e.g., kg of material, kWh of energy, tkm of transport) by their respective emission factors. These are then categorized according to the GHG Protocol scopes.</w:t>
      </w:r>
    </w:p>
    <w:bookmarkStart w:id="39" w:name="Xed499e74c394d5aaeb051551c817037fec2fba7"/>
    <w:p>
      <w:pPr>
        <w:pStyle w:val="Heading4"/>
      </w:pPr>
      <w:r>
        <w:t xml:space="preserve">Emission Calculations by Lifecycle Stage and GHG Scope</w:t>
      </w:r>
    </w:p>
    <w:bookmarkStart w:id="31" w:name="X3966767ae6f908a209a1b61758367a4e57fee65"/>
    <w:p>
      <w:pPr>
        <w:pStyle w:val="Heading5"/>
      </w:pPr>
      <w:r>
        <w:t xml:space="preserve">Scope 1: Direct Emissions (Not applicable in this cradle-to-grave PCF at the product level, as the company may not own/control sources like fuel combustion for raw material extraction or use phase energy generation for consumers. These are typically covered under Scope 3 for the product PCF. Corporate Scope 1 emissions, e.g., from direct factory operations, are embedded in the manufacturing energy calculation.)</w:t>
      </w:r>
    </w:p>
    <w:p>
      <w:pPr>
        <w:pStyle w:val="FirstParagraph"/>
      </w:pPr>
      <w:r>
        <w:t xml:space="preserve">For a product carbon footprint (PCF), emissions from Scope 1 activities of a reporting company (e.g., direct fuel combustion in the factory) are typically integrated into the \'Manufacturing\' stage total and ultimately fall under Scope 3 Category 1 (Purchased Goods and Services) from a product perspective, or directly into the product\'s manufacturing phase, reflecting direct emissions associated with its creation. However, as the focus is on the product, the manufacturing emissions (electricity and minor process emissions) are allocated. Direct fossil fuel combustion on-site for the product is not specified, so assumed negligible or integrated into overall energy intensity.</w:t>
      </w:r>
    </w:p>
    <w:bookmarkEnd w:id="31"/>
    <w:bookmarkStart w:id="32" w:name="X940f739cc6425d99b84e128f190b13e064c5cd0"/>
    <w:p>
      <w:pPr>
        <w:pStyle w:val="Heading5"/>
      </w:pPr>
      <w:r>
        <w:t xml:space="preserve">Scope 2: Indirect Emissions from Purchased Energy</w:t>
      </w:r>
    </w:p>
    <w:p>
      <w:pPr>
        <w:pStyle w:val="FirstParagraph"/>
      </w:pPr>
      <w:r>
        <w:t xml:space="preserve">For a product PCF, the electricity used in manufacturing is usually accounted for in the product\'s overall footprint. If feuziplfyw purchases electricity directly, its associated emissions are Scope 2 at the corporate level. For the product, these become part of its embodied carbon.</w:t>
      </w:r>
    </w:p>
    <w:p>
      <w:pPr>
        <w:pStyle w:val="BodyText"/>
      </w:pPr>
      <w:r>
        <w:rPr>
          <w:bCs/>
          <w:b/>
        </w:rPr>
        <w:t xml:space="preserve">Manufacturing Energy (China):</w:t>
      </w:r>
    </w:p>
    <w:p>
      <w:pPr>
        <w:numPr>
          <w:ilvl w:val="0"/>
          <w:numId w:val="1008"/>
        </w:numPr>
        <w:pStyle w:val="Compact"/>
      </w:pPr>
      <w:r>
        <w:t xml:space="preserve">Total 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15 kWh/unit * (1 - 0.60) = 6 kWh/unit</w:t>
      </w:r>
    </w:p>
    <w:p>
      <w:pPr>
        <w:numPr>
          <w:ilvl w:val="0"/>
          <w:numId w:val="1008"/>
        </w:numPr>
        <w:pStyle w:val="Compact"/>
      </w:pPr>
      <w:r>
        <w:t xml:space="preserve">Non-renewable emissions: 6 kWh/unit * 0.57 kgCO2e/kWh (China Grid) = 3.42 kgCO2e/unit</w:t>
      </w:r>
    </w:p>
    <w:p>
      <w:pPr>
        <w:pStyle w:val="FirstParagraph"/>
      </w:pPr>
      <w:r>
        <w:rPr>
          <w:bCs/>
          <w:b/>
        </w:rPr>
        <w:t xml:space="preserve">Total Scope 2 Emissions (allocated to product): 3.42 kgCO2e/unit</w:t>
      </w:r>
    </w:p>
    <w:bookmarkEnd w:id="32"/>
    <w:bookmarkStart w:id="38" w:name="X37db9139fff08cccc0b4e0153e9b7b95d4db9f9"/>
    <w:p>
      <w:pPr>
        <w:pStyle w:val="Heading5"/>
      </w:pPr>
      <w:r>
        <w:t xml:space="preserve">Scope 3: Other Indirect Emissions (Value Chain Emissions)</w:t>
      </w:r>
    </w:p>
    <w:p>
      <w:pPr>
        <w:pStyle w:val="FirstParagraph"/>
      </w:pPr>
      <w:r>
        <w:t xml:space="preserve">Scope 3 emissions constitute the majority of a product\'s footprint and include all upstream and downstream emissions not covered in Scope 1 or 2. The GHG Protocol has 15 categories for Scope 3 emissions. This report covers the most relevant categories for xevhsqrhdu, aiming for at least 95% coverage as per new requirements.</w:t>
      </w:r>
    </w:p>
    <w:bookmarkStart w:id="33" w:name="Xab9729a0caae076ca89f2f71668734f92723cf2"/>
    <w:p>
      <w:pPr>
        <w:pStyle w:val="Heading6"/>
      </w:pPr>
      <w:r>
        <w:t xml:space="preserve">Category 1: Purchased Goods and Services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Plastic Casing</w:t>
            </w:r>
          </w:p>
        </w:tc>
        <w:tc>
          <w:tcPr/>
          <w:p>
            <w:pPr>
              <w:pStyle w:val="Compact"/>
              <w:jc w:val="left"/>
            </w:pPr>
            <w:r>
              <w:t xml:space="preserve">0.50</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Aluminum Frame</w:t>
            </w:r>
          </w:p>
        </w:tc>
        <w:tc>
          <w:tcPr/>
          <w:p>
            <w:pPr>
              <w:pStyle w:val="Compact"/>
              <w:jc w:val="left"/>
            </w:pPr>
            <w:r>
              <w:t xml:space="preserve">0.20</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Electronic Components</w:t>
            </w:r>
          </w:p>
        </w:tc>
        <w:tc>
          <w:tcPr/>
          <w:p>
            <w:pPr>
              <w:pStyle w:val="Compact"/>
              <w:jc w:val="left"/>
            </w:pPr>
            <w:r>
              <w:t xml:space="preserve">0.10</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0.15</w:t>
            </w:r>
          </w:p>
        </w:tc>
        <w:tc>
          <w:tcPr/>
          <w:p>
            <w:pPr>
              <w:pStyle w:val="Compact"/>
              <w:jc w:val="left"/>
            </w:pPr>
            <w:r>
              <w:t xml:space="preserve">0.94</w:t>
            </w:r>
          </w:p>
        </w:tc>
        <w:tc>
          <w:tcPr/>
          <w:p>
            <w:pPr>
              <w:pStyle w:val="Compact"/>
              <w:jc w:val="left"/>
            </w:pPr>
            <w:r>
              <w:t xml:space="preserve">0.14</w:t>
            </w:r>
          </w:p>
        </w:tc>
      </w:tr>
      <w:tr>
        <w:tc>
          <w:tcPr>
            <w:gridSpan w:val="3"/>
          </w:tcPr>
          <w:p>
            <w:pPr>
              <w:pStyle w:val="Compact"/>
              <w:jc w:val="left"/>
            </w:pPr>
            <w:r>
              <w:rPr>
                <w:bCs/>
                <w:b/>
              </w:rPr>
              <w:t xml:space="preserve">Subtotal (Materials)</w:t>
            </w:r>
          </w:p>
        </w:tc>
        <w:tc>
          <w:tcPr/>
          <w:p>
            <w:pPr>
              <w:pStyle w:val="Compact"/>
              <w:jc w:val="left"/>
            </w:pPr>
            <w:r>
              <w:rPr>
                <w:bCs/>
                <w:b/>
              </w:rPr>
              <w:t xml:space="preserve">4.49</w:t>
            </w:r>
          </w:p>
        </w:tc>
      </w:tr>
    </w:tbl>
    <w:bookmarkEnd w:id="33"/>
    <w:bookmarkStart w:id="34" w:name="X6669a43143349c25ec93e775eebde43de53a73c"/>
    <w:p>
      <w:pPr>
        <w:pStyle w:val="Heading6"/>
      </w:pPr>
      <w:r>
        <w:t xml:space="preserve">Category 4: Upstream Transportation and Distribution</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w:t>
            </w:r>
          </w:p>
        </w:tc>
        <w:tc>
          <w:tcPr/>
          <w:p>
            <w:pPr>
              <w:pStyle w:val="Compact"/>
              <w:jc w:val="left"/>
            </w:pPr>
            <w:r>
              <w:t xml:space="preserve">Emission Factor (kgCO2e/tkm)</w:t>
            </w:r>
          </w:p>
        </w:tc>
        <w:tc>
          <w:tcPr/>
          <w:p>
            <w:pPr>
              <w:pStyle w:val="Compact"/>
              <w:jc w:val="left"/>
            </w:pPr>
            <w:r>
              <w:t xml:space="preserve">Emissions (kgCO2e)</w:t>
            </w:r>
          </w:p>
        </w:tc>
      </w:tr>
      <w:tr>
        <w:tc>
          <w:tcPr/>
          <w:p>
            <w:pPr>
              <w:pStyle w:val="Compact"/>
              <w:jc w:val="left"/>
            </w:pPr>
            <w:r>
              <w:t xml:space="preserve">Raw Materials (Europe to China)</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0.00080</w:t>
            </w:r>
          </w:p>
        </w:tc>
        <w:tc>
          <w:tcPr/>
          <w:p>
            <w:pPr>
              <w:pStyle w:val="Compact"/>
              <w:jc w:val="left"/>
            </w:pPr>
            <w:r>
              <w:t xml:space="preserve">0.016</w:t>
            </w:r>
          </w:p>
        </w:tc>
        <w:tc>
          <w:tcPr/>
          <w:p>
            <w:pPr>
              <w:pStyle w:val="Compact"/>
              <w:jc w:val="left"/>
            </w:pPr>
            <w:r>
              <w:t xml:space="preserve">0.19</w:t>
            </w:r>
          </w:p>
        </w:tc>
      </w:tr>
      <w:tr>
        <w:tc>
          <w:tcPr>
            <w:gridSpan w:val="5"/>
          </w:tcPr>
          <w:p>
            <w:pPr>
              <w:pStyle w:val="Compact"/>
              <w:jc w:val="left"/>
            </w:pPr>
            <w:r>
              <w:rPr>
                <w:bCs/>
                <w:b/>
              </w:rPr>
              <w:t xml:space="preserve">Subtotal (Upstream Transport)</w:t>
            </w:r>
          </w:p>
        </w:tc>
        <w:tc>
          <w:tcPr/>
          <w:p>
            <w:pPr>
              <w:pStyle w:val="Compact"/>
              <w:jc w:val="left"/>
            </w:pPr>
            <w:r>
              <w:rPr>
                <w:bCs/>
                <w:b/>
              </w:rPr>
              <w:t xml:space="preserve">0.19</w:t>
            </w:r>
          </w:p>
        </w:tc>
      </w:tr>
    </w:tbl>
    <w:bookmarkEnd w:id="34"/>
    <w:bookmarkStart w:id="35" w:name="X25a0837e2ca53a982bfb6f58a50970139f4f25f"/>
    <w:p>
      <w:pPr>
        <w:pStyle w:val="Heading6"/>
      </w:pPr>
      <w:r>
        <w:t xml:space="preserve">Category 9: Downstream Transportation and Distribution</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w:t>
            </w:r>
          </w:p>
        </w:tc>
        <w:tc>
          <w:tcPr/>
          <w:p>
            <w:pPr>
              <w:pStyle w:val="Compact"/>
              <w:jc w:val="left"/>
            </w:pPr>
            <w:r>
              <w:t xml:space="preserve">Emission Factor (kgCO2e/tkm)</w:t>
            </w:r>
          </w:p>
        </w:tc>
        <w:tc>
          <w:tcPr/>
          <w:p>
            <w:pPr>
              <w:pStyle w:val="Compact"/>
              <w:jc w:val="left"/>
            </w:pPr>
            <w:r>
              <w:t xml:space="preserve">Emissions (kgCO2e)</w:t>
            </w:r>
          </w:p>
        </w:tc>
      </w:tr>
      <w:tr>
        <w:tc>
          <w:tcPr/>
          <w:p>
            <w:pPr>
              <w:pStyle w:val="Compact"/>
              <w:jc w:val="left"/>
            </w:pPr>
            <w:r>
              <w:t xml:space="preserve">Finished Product (China to EU DC)</w:t>
            </w:r>
          </w:p>
        </w:tc>
        <w:tc>
          <w:tcPr/>
          <w:p>
            <w:pPr>
              <w:pStyle w:val="Compact"/>
              <w:jc w:val="left"/>
            </w:pPr>
            <w:r>
              <w:t xml:space="preserve">Ocean Freight</w:t>
            </w:r>
          </w:p>
        </w:tc>
        <w:tc>
          <w:tcPr/>
          <w:p>
            <w:pPr>
              <w:pStyle w:val="Compact"/>
              <w:jc w:val="left"/>
            </w:pPr>
            <w:r>
              <w:t xml:space="preserve">18,000</w:t>
            </w:r>
          </w:p>
        </w:tc>
        <w:tc>
          <w:tcPr/>
          <w:p>
            <w:pPr>
              <w:pStyle w:val="Compact"/>
              <w:jc w:val="left"/>
            </w:pPr>
            <w:r>
              <w:t xml:space="preserve">0.00095</w:t>
            </w:r>
          </w:p>
        </w:tc>
        <w:tc>
          <w:tcPr/>
          <w:p>
            <w:pPr>
              <w:pStyle w:val="Compact"/>
              <w:jc w:val="left"/>
            </w:pPr>
            <w:r>
              <w:t xml:space="preserve">0.016</w:t>
            </w:r>
          </w:p>
        </w:tc>
        <w:tc>
          <w:tcPr/>
          <w:p>
            <w:pPr>
              <w:pStyle w:val="Compact"/>
              <w:jc w:val="left"/>
            </w:pPr>
            <w:r>
              <w:t xml:space="preserve">0.27</w:t>
            </w:r>
          </w:p>
        </w:tc>
      </w:tr>
      <w:tr>
        <w:tc>
          <w:tcPr/>
          <w:p>
            <w:pPr>
              <w:pStyle w:val="Compact"/>
              <w:jc w:val="left"/>
            </w:pPr>
            <w:r>
              <w:t xml:space="preserve">Distribution (EU Hub to Regional)</w:t>
            </w:r>
          </w:p>
        </w:tc>
        <w:tc>
          <w:tcPr/>
          <w:p>
            <w:pPr>
              <w:pStyle w:val="Compact"/>
              <w:jc w:val="left"/>
            </w:pPr>
            <w:r>
              <w:t xml:space="preserve">Road Freight (Truck)</w:t>
            </w:r>
          </w:p>
        </w:tc>
        <w:tc>
          <w:tcPr/>
          <w:p>
            <w:pPr>
              <w:pStyle w:val="Compact"/>
              <w:jc w:val="left"/>
            </w:pPr>
            <w:r>
              <w:t xml:space="preserve">500</w:t>
            </w:r>
          </w:p>
        </w:tc>
        <w:tc>
          <w:tcPr/>
          <w:p>
            <w:pPr>
              <w:pStyle w:val="Compact"/>
              <w:jc w:val="left"/>
            </w:pPr>
            <w:r>
              <w:t xml:space="preserve">0.00095</w:t>
            </w:r>
          </w:p>
        </w:tc>
        <w:tc>
          <w:tcPr/>
          <w:p>
            <w:pPr>
              <w:pStyle w:val="Compact"/>
              <w:jc w:val="left"/>
            </w:pPr>
            <w:r>
              <w:t xml:space="preserve">0.09 (illustrative)</w:t>
            </w:r>
          </w:p>
        </w:tc>
        <w:tc>
          <w:tcPr/>
          <w:p>
            <w:pPr>
              <w:pStyle w:val="Compact"/>
              <w:jc w:val="left"/>
            </w:pPr>
            <w:r>
              <w:t xml:space="preserve">0.04</w:t>
            </w:r>
          </w:p>
        </w:tc>
      </w:tr>
      <w:tr>
        <w:tc>
          <w:tcPr/>
          <w:p>
            <w:pPr>
              <w:pStyle w:val="Compact"/>
              <w:jc w:val="left"/>
            </w:pPr>
            <w:r>
              <w:t xml:space="preserve">Last-Mile Delivery (Van)</w:t>
            </w:r>
          </w:p>
        </w:tc>
        <w:tc>
          <w:tcPr/>
          <w:p>
            <w:pPr>
              <w:pStyle w:val="Compact"/>
              <w:jc w:val="left"/>
            </w:pPr>
            <w:r>
              <w:t xml:space="preserve">Road Freight (Van)</w:t>
            </w:r>
          </w:p>
        </w:tc>
        <w:tc>
          <w:tcPr/>
          <w:p>
            <w:pPr>
              <w:pStyle w:val="Compact"/>
              <w:jc w:val="left"/>
            </w:pPr>
            <w:r>
              <w:t xml:space="preserve">50</w:t>
            </w:r>
          </w:p>
        </w:tc>
        <w:tc>
          <w:tcPr/>
          <w:p>
            <w:pPr>
              <w:pStyle w:val="Compact"/>
              <w:jc w:val="left"/>
            </w:pPr>
            <w:r>
              <w:t xml:space="preserve">0.00095 (not directly used for per-km factor)</w:t>
            </w:r>
          </w:p>
        </w:tc>
        <w:tc>
          <w:tcPr/>
          <w:p>
            <w:pPr>
              <w:pStyle w:val="Compact"/>
              <w:jc w:val="left"/>
            </w:pPr>
            <w:r>
              <w:t xml:space="preserve">0.24934 kgCO2e/km</w:t>
            </w:r>
          </w:p>
        </w:tc>
        <w:tc>
          <w:tcPr/>
          <w:p>
            <w:pPr>
              <w:pStyle w:val="Compact"/>
              <w:jc w:val="left"/>
            </w:pPr>
            <w:r>
              <w:t xml:space="preserve">0.01</w:t>
            </w:r>
          </w:p>
        </w:tc>
      </w:tr>
      <w:tr>
        <w:tc>
          <w:tcPr>
            <w:gridSpan w:val="5"/>
          </w:tcPr>
          <w:p>
            <w:pPr>
              <w:pStyle w:val="Compact"/>
              <w:jc w:val="left"/>
            </w:pPr>
            <w:r>
              <w:rPr>
                <w:bCs/>
                <w:b/>
              </w:rPr>
              <w:t xml:space="preserve">Subtotal (Downstream Transport)</w:t>
            </w:r>
          </w:p>
        </w:tc>
        <w:tc>
          <w:tcPr/>
          <w:p>
            <w:pPr>
              <w:pStyle w:val="Compact"/>
              <w:jc w:val="left"/>
            </w:pPr>
            <w:r>
              <w:rPr>
                <w:bCs/>
                <w:b/>
              </w:rPr>
              <w:t xml:space="preserve">0.32</w:t>
            </w:r>
          </w:p>
        </w:tc>
      </w:tr>
    </w:tbl>
    <w:bookmarkEnd w:id="35"/>
    <w:bookmarkStart w:id="36" w:name="category-11-use-of-sold-products"/>
    <w:p>
      <w:pPr>
        <w:pStyle w:val="Heading6"/>
      </w:pPr>
      <w:r>
        <w:t xml:space="preserve">Category 11: Use of Sold Products</w:t>
      </w:r>
    </w:p>
    <w:p>
      <w:pPr>
        <w:numPr>
          <w:ilvl w:val="0"/>
          <w:numId w:val="1009"/>
        </w:numPr>
        <w:pStyle w:val="Compact"/>
      </w:pPr>
      <w:r>
        <w:t xml:space="preserve">Product Lifespan: 5 years</w:t>
      </w:r>
    </w:p>
    <w:p>
      <w:pPr>
        <w:numPr>
          <w:ilvl w:val="0"/>
          <w:numId w:val="1009"/>
        </w:numPr>
        <w:pStyle w:val="Compact"/>
      </w:pPr>
      <w:r>
        <w:t xml:space="preserve">Energy Consumption: 10 kWh/year * 5 years = 50 kWh/unit</w:t>
      </w:r>
    </w:p>
    <w:p>
      <w:pPr>
        <w:numPr>
          <w:ilvl w:val="0"/>
          <w:numId w:val="1009"/>
        </w:numPr>
        <w:pStyle w:val="Compact"/>
      </w:pPr>
      <w:r>
        <w:t xml:space="preserve">Electricity Grid Emission Factor (EU Average): 0.28 kgCO2e/kWh (illustrative)</w:t>
      </w:r>
    </w:p>
    <w:p>
      <w:pPr>
        <w:numPr>
          <w:ilvl w:val="0"/>
          <w:numId w:val="1009"/>
        </w:numPr>
        <w:pStyle w:val="Compact"/>
      </w:pPr>
      <w:r>
        <w:t xml:space="preserve">Emissions: 50 kWh/unit * 0.28 kgCO2e/kWh = 14.00 kgCO2e/unit</w:t>
      </w:r>
    </w:p>
    <w:p>
      <w:pPr>
        <w:pStyle w:val="FirstParagraph"/>
      </w:pPr>
      <w:r>
        <w:rPr>
          <w:bCs/>
          <w:b/>
        </w:rPr>
        <w:t xml:space="preserve">Total Scope 3 - Use Phase Emissions: 14.00 kgCO2e/unit</w:t>
      </w:r>
    </w:p>
    <w:bookmarkEnd w:id="36"/>
    <w:bookmarkStart w:id="37" w:name="X9f66eef2700632e081dfe139021cb724ffcd2c5"/>
    <w:p>
      <w:pPr>
        <w:pStyle w:val="Heading6"/>
      </w:pPr>
      <w:r>
        <w:t xml:space="preserve">Category 12: End-of-Life Treatment of Sold Products</w:t>
      </w:r>
    </w:p>
    <w:p>
      <w:pPr>
        <w:numPr>
          <w:ilvl w:val="0"/>
          <w:numId w:val="1010"/>
        </w:numPr>
        <w:pStyle w:val="Compact"/>
      </w:pPr>
      <w:r>
        <w:t xml:space="preserve">Total Product Mass: 0.5kg (plastic) + 0.2kg (aluminum) + 0.1kg (electronics) + 0.15kg (packaging) = 0.95 kg/unit</w:t>
      </w:r>
    </w:p>
    <w:p>
      <w:pPr>
        <w:numPr>
          <w:ilvl w:val="0"/>
          <w:numId w:val="1010"/>
        </w:numPr>
        <w:pStyle w:val="Compact"/>
      </w:pPr>
      <w:r>
        <w:t xml:space="preserve">Circular Programs: 15% (0.15 * 0.95 kg = 0.1425 kg) assumed to be remanufactured/high-value recycling, yielding a higher credit.</w:t>
      </w:r>
    </w:p>
    <w:p>
      <w:pPr>
        <w:numPr>
          <w:ilvl w:val="0"/>
          <w:numId w:val="1010"/>
        </w:numPr>
        <w:pStyle w:val="Compact"/>
      </w:pPr>
      <w:r>
        <w:t xml:space="preserve">Standard Recycling: 65% (0.65 * 0.95 kg = 0.6175 kg) (from 80% recyclability - 15% circular)</w:t>
      </w:r>
    </w:p>
    <w:p>
      <w:pPr>
        <w:numPr>
          <w:ilvl w:val="0"/>
          <w:numId w:val="1010"/>
        </w:numPr>
        <w:pStyle w:val="Compact"/>
      </w:pPr>
      <w:r>
        <w:t xml:space="preserve">Landfill: 20% (0.20 * 0.95 kg = 0.190 kg) (remaining portion)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Mass (kg)</w:t>
            </w:r>
          </w:p>
        </w:tc>
        <w:tc>
          <w:tcPr/>
          <w:p>
            <w:pPr>
              <w:pStyle w:val="Compact"/>
              <w:jc w:val="left"/>
            </w:pPr>
            <w:r>
              <w:t xml:space="preserve">Emission Factor (kgCO2e/kg)</w:t>
            </w:r>
          </w:p>
        </w:tc>
        <w:tc>
          <w:tcPr/>
          <w:p>
            <w:pPr>
              <w:pStyle w:val="Compact"/>
              <w:jc w:val="left"/>
            </w:pPr>
            <w:r>
              <w:t xml:space="preserve">Emissions/Credits (kgCO2e)</w:t>
            </w:r>
          </w:p>
        </w:tc>
      </w:tr>
      <w:tr>
        <w:tc>
          <w:tcPr/>
          <w:p>
            <w:pPr>
              <w:pStyle w:val="Compact"/>
              <w:jc w:val="left"/>
            </w:pPr>
            <w:r>
              <w:t xml:space="preserve">Circular/Remanufacturing (Credit)</w:t>
            </w:r>
          </w:p>
        </w:tc>
        <w:tc>
          <w:tcPr/>
          <w:p>
            <w:pPr>
              <w:pStyle w:val="Compact"/>
              <w:jc w:val="left"/>
            </w:pPr>
            <w:r>
              <w:t xml:space="preserve">0.1425</w:t>
            </w:r>
          </w:p>
        </w:tc>
        <w:tc>
          <w:tcPr/>
          <w:p>
            <w:pPr>
              <w:pStyle w:val="Compact"/>
              <w:jc w:val="left"/>
            </w:pPr>
            <w:r>
              <w:t xml:space="preserve">-2.0 (illustrative, higher credit)</w:t>
            </w:r>
          </w:p>
        </w:tc>
        <w:tc>
          <w:tcPr/>
          <w:p>
            <w:pPr>
              <w:pStyle w:val="Compact"/>
              <w:jc w:val="left"/>
            </w:pPr>
            <w:r>
              <w:t xml:space="preserve">-0.29</w:t>
            </w:r>
          </w:p>
        </w:tc>
      </w:tr>
      <w:tr>
        <w:tc>
          <w:tcPr/>
          <w:p>
            <w:pPr>
              <w:pStyle w:val="Compact"/>
              <w:jc w:val="left"/>
            </w:pPr>
            <w:r>
              <w:t xml:space="preserve">Standard Recycling (Credit)</w:t>
            </w:r>
          </w:p>
        </w:tc>
        <w:tc>
          <w:tcPr/>
          <w:p>
            <w:pPr>
              <w:pStyle w:val="Compact"/>
              <w:jc w:val="left"/>
            </w:pPr>
            <w:r>
              <w:t xml:space="preserve">0.6175</w:t>
            </w:r>
          </w:p>
        </w:tc>
        <w:tc>
          <w:tcPr/>
          <w:p>
            <w:pPr>
              <w:pStyle w:val="Compact"/>
              <w:jc w:val="left"/>
            </w:pPr>
            <w:r>
              <w:t xml:space="preserve">-1.0 (illustrative)</w:t>
            </w:r>
          </w:p>
        </w:tc>
        <w:tc>
          <w:tcPr/>
          <w:p>
            <w:pPr>
              <w:pStyle w:val="Compact"/>
              <w:jc w:val="left"/>
            </w:pPr>
            <w:r>
              <w:t xml:space="preserve">-0.62</w:t>
            </w:r>
          </w:p>
        </w:tc>
      </w:tr>
      <w:tr>
        <w:tc>
          <w:tcPr/>
          <w:p>
            <w:pPr>
              <w:pStyle w:val="Compact"/>
              <w:jc w:val="left"/>
            </w:pPr>
            <w:r>
              <w:t xml:space="preserve">Landfill</w:t>
            </w:r>
          </w:p>
        </w:tc>
        <w:tc>
          <w:tcPr/>
          <w:p>
            <w:pPr>
              <w:pStyle w:val="Compact"/>
              <w:jc w:val="left"/>
            </w:pPr>
            <w:r>
              <w:t xml:space="preserve">0.1900</w:t>
            </w:r>
          </w:p>
        </w:tc>
        <w:tc>
          <w:tcPr/>
          <w:p>
            <w:pPr>
              <w:pStyle w:val="Compact"/>
              <w:jc w:val="left"/>
            </w:pPr>
            <w:r>
              <w:t xml:space="preserve">0.1 (illustrative)</w:t>
            </w:r>
          </w:p>
        </w:tc>
        <w:tc>
          <w:tcPr/>
          <w:p>
            <w:pPr>
              <w:pStyle w:val="Compact"/>
              <w:jc w:val="left"/>
            </w:pPr>
            <w:r>
              <w:t xml:space="preserve">0.02</w:t>
            </w:r>
          </w:p>
        </w:tc>
      </w:tr>
      <w:tr>
        <w:tc>
          <w:tcPr>
            <w:gridSpan w:val="3"/>
          </w:tcPr>
          <w:p>
            <w:pPr>
              <w:pStyle w:val="Compact"/>
              <w:jc w:val="left"/>
            </w:pPr>
            <w:r>
              <w:rPr>
                <w:bCs/>
                <w:b/>
              </w:rPr>
              <w:t xml:space="preserve">Subtotal (End-of-Life)</w:t>
            </w:r>
          </w:p>
        </w:tc>
        <w:tc>
          <w:tcPr/>
          <w:p>
            <w:pPr>
              <w:pStyle w:val="Compact"/>
              <w:jc w:val="left"/>
            </w:pPr>
            <w:r>
              <w:rPr>
                <w:bCs/>
                <w:b/>
              </w:rPr>
              <w:t xml:space="preserve">-0.89</w:t>
            </w:r>
          </w:p>
        </w:tc>
      </w:tr>
    </w:tbl>
    <w:p>
      <w:pPr>
        <w:pStyle w:val="BodyText"/>
      </w:pPr>
      <w:r>
        <w:rPr>
          <w:bCs/>
          <w:b/>
        </w:rPr>
        <w:t xml:space="preserve">Total Scope 3 - End-of-Life Emissions: -0.89 kgCO2e/unit (Net Credit)</w:t>
      </w:r>
    </w:p>
    <w:bookmarkEnd w:id="37"/>
    <w:bookmarkEnd w:id="38"/>
    <w:bookmarkEnd w:id="39"/>
    <w:bookmarkStart w:id="40" w:name="summary-of-emissions-by-scope-and-stage"/>
    <w:p>
      <w:pPr>
        <w:pStyle w:val="Heading4"/>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(Materials)</w:t>
            </w:r>
          </w:p>
        </w:tc>
        <w:tc>
          <w:tcPr/>
          <w:p>
            <w:pPr>
              <w:pStyle w:val="Compact"/>
              <w:jc w:val="left"/>
            </w:pPr>
            <w:r>
              <w:t xml:space="preserve">Scope 3 (Cat. 1)</w:t>
            </w:r>
          </w:p>
        </w:tc>
        <w:tc>
          <w:tcPr/>
          <w:p>
            <w:pPr>
              <w:pStyle w:val="Compact"/>
              <w:jc w:val="left"/>
            </w:pPr>
            <w:r>
              <w:t xml:space="preserve">4.49</w:t>
            </w:r>
          </w:p>
        </w:tc>
      </w:tr>
      <w:tr>
        <w:tc>
          <w:tcPr/>
          <w:p>
            <w:pPr>
              <w:pStyle w:val="Compact"/>
              <w:jc w:val="left"/>
            </w:pPr>
            <w:r>
              <w:t xml:space="preserve">Manufacturing (Energy)</w:t>
            </w:r>
          </w:p>
        </w:tc>
        <w:tc>
          <w:tcPr/>
          <w:p>
            <w:pPr>
              <w:pStyle w:val="Compact"/>
              <w:jc w:val="left"/>
            </w:pPr>
            <w:r>
              <w:t xml:space="preserve">Scope 2 (Electricity)</w:t>
            </w:r>
          </w:p>
        </w:tc>
        <w:tc>
          <w:tcPr/>
          <w:p>
            <w:pPr>
              <w:pStyle w:val="Compact"/>
              <w:jc w:val="left"/>
            </w:pPr>
            <w:r>
              <w:t xml:space="preserve">3.42</w:t>
            </w:r>
          </w:p>
        </w:tc>
      </w:tr>
      <w:tr>
        <w:tc>
          <w:tcPr/>
          <w:p>
            <w:pPr>
              <w:pStyle w:val="Compact"/>
              <w:jc w:val="left"/>
            </w:pPr>
            <w:r>
              <w:t xml:space="preserve">Upstream Transport</w:t>
            </w:r>
          </w:p>
        </w:tc>
        <w:tc>
          <w:tcPr/>
          <w:p>
            <w:pPr>
              <w:pStyle w:val="Compact"/>
              <w:jc w:val="left"/>
            </w:pPr>
            <w:r>
              <w:t xml:space="preserve">Scope 3 (Cat. 4)</w:t>
            </w:r>
          </w:p>
        </w:tc>
        <w:tc>
          <w:tcPr/>
          <w:p>
            <w:pPr>
              <w:pStyle w:val="Compact"/>
              <w:jc w:val="left"/>
            </w:pPr>
            <w:r>
              <w:t xml:space="preserve">0.19</w:t>
            </w:r>
          </w:p>
        </w:tc>
      </w:tr>
      <w:tr>
        <w:tc>
          <w:tcPr/>
          <w:p>
            <w:pPr>
              <w:pStyle w:val="Compact"/>
              <w:jc w:val="left"/>
            </w:pPr>
            <w:r>
              <w:t xml:space="preserve">Downstream Transport</w:t>
            </w:r>
          </w:p>
        </w:tc>
        <w:tc>
          <w:tcPr/>
          <w:p>
            <w:pPr>
              <w:pStyle w:val="Compact"/>
              <w:jc w:val="left"/>
            </w:pPr>
            <w:r>
              <w:t xml:space="preserve">Scope 3 (Cat. 9)</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14.00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-0.89</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21.53</w:t>
            </w:r>
          </w:p>
        </w:tc>
      </w:tr>
    </w:tbl>
    <w:p>
      <w:r>
        <w:pict>
          <v:rect style="width:0;height:1.5pt" o:hralign="center" o:hrstd="t" o:hr="t"/>
        </w:pict>
      </w:r>
    </w:p>
    <w:bookmarkEnd w:id="40"/>
    <w:bookmarkEnd w:id="41"/>
    <w:bookmarkStart w:id="44" w:name="ghg-protocol-special-considerations"/>
    <w:p>
      <w:pPr>
        <w:pStyle w:val="Heading3"/>
      </w:pPr>
      <w:r>
        <w:t xml:space="preserve">GHG Protocol Special Considerations</w:t>
      </w:r>
    </w:p>
    <w:bookmarkStart w:id="42" w:name="X7ef73fe3d39a8d84fae696b42f814aa0d860ec0"/>
    <w:p>
      <w:pPr>
        <w:pStyle w:val="Heading4"/>
      </w:pPr>
      <w:r>
        <w:t xml:space="preserve">2026 LSR Update (Land Sector and Removals Standard)</w:t>
      </w:r>
    </w:p>
    <w:p>
      <w:pPr>
        <w:pStyle w:val="FirstParagraph"/>
      </w:pPr>
      <w:r>
        <w:t xml:space="preserve">The Land Sector and Removals (LSR) Standard, effective January 1, 2027, provides crucial guidance for quantifying and reporting land emissions, CO2 removals, and biogenic products. For product xevhsqrhdu, if its raw materials (e.g., paper for packaging) involve significant land-use change or sequestration activities, the LSR Standard would apply to capture these impacts more accurately. While specific land-use data was not provided for the illustrative BOM, feuziplfyw should assess its supply chain for materials with a significant land footprint and apply the LSR Standard\'s principles for future, more granular analyses, particularly for biogenic carbon accounting and any carbon removal claims.</w:t>
      </w:r>
    </w:p>
    <w:bookmarkEnd w:id="42"/>
    <w:bookmarkStart w:id="43" w:name="scope-3-compliance-95-coverage"/>
    <w:p>
      <w:pPr>
        <w:pStyle w:val="Heading4"/>
      </w:pPr>
      <w:r>
        <w:t xml:space="preserve">Scope 3 Compliance (95% Coverage)</w:t>
      </w:r>
    </w:p>
    <w:p>
      <w:pPr>
        <w:pStyle w:val="FirstParagraph"/>
      </w:pPr>
      <w:r>
        <w:t xml:space="preserve">This analysis has aimed for comprehensive Scope 3 coverage by including all major lifecycle stages: purchased goods and services, upstream and downstream transportation, use of sold products, and end-of-life treatment. The explicit inclusion of these categories, which typically represent the largest share of a product\'s footprint, demonstrates an effort towards achieving the proposed 95% coverage requirement for Scope 3 emissions. For full compliance, feuziplfyw should ensure all relevant Scope 3 categories (1-15) are evaluated, and any minor exclusions are quantified and justified.</w:t>
      </w:r>
    </w:p>
    <w:bookmarkEnd w:id="43"/>
    <w:bookmarkEnd w:id="44"/>
    <w:bookmarkStart w:id="47" w:name="review-report"/>
    <w:p>
      <w:pPr>
        <w:pStyle w:val="Heading3"/>
      </w:pPr>
      <w:r>
        <w:t xml:space="preserve">5. Review &amp; Report</w:t>
      </w:r>
    </w:p>
    <w:p>
      <w:pPr>
        <w:pStyle w:val="FirstParagraph"/>
      </w:pPr>
      <w:r>
        <w:t xml:space="preserve">This section summarizes the findings and identifies hotspots.</w:t>
      </w:r>
    </w:p>
    <w:bookmarkStart w:id="45" w:name="identified-hotspots"/>
    <w:p>
      <w:pPr>
        <w:pStyle w:val="Heading4"/>
      </w:pPr>
      <w:r>
        <w:t xml:space="preserve">Identified Hotspots:</w:t>
      </w:r>
    </w:p>
    <w:p>
      <w:pPr>
        <w:numPr>
          <w:ilvl w:val="0"/>
          <w:numId w:val="1011"/>
        </w:numPr>
        <w:pStyle w:val="Compact"/>
      </w:pPr>
      <w:r>
        <w:rPr>
          <w:bCs/>
          <w:b/>
        </w:rPr>
        <w:t xml:space="preserve">Use Phase:</w:t>
      </w:r>
      <w:r>
        <w:t xml:space="preserve"> </w:t>
      </w:r>
      <w:r>
        <w:t xml:space="preserve">The most significant hotspot is the use phase, accounting for approximately 65% of the total PCF (14.00 kgCO2e). This indicates that the energy consumption during the product\'s lifespan is a critical area for reduction.</w:t>
      </w:r>
    </w:p>
    <w:p>
      <w:pPr>
        <w:numPr>
          <w:ilvl w:val="0"/>
          <w:numId w:val="1011"/>
        </w:numPr>
        <w:pStyle w:val="Compact"/>
      </w:pPr>
      <w:r>
        <w:rPr>
          <w:bCs/>
          <w:b/>
        </w:rPr>
        <w:t xml:space="preserve">Raw Materials:</w:t>
      </w:r>
      <w:r>
        <w:t xml:space="preserve"> </w:t>
      </w:r>
      <w:r>
        <w:t xml:space="preserve">Purchased goods and services, particularly plastic, aluminum, and electronic components, represent the next major hotspot, contributing about 21% of the total PCF (4.49 kgCO2e).</w:t>
      </w:r>
    </w:p>
    <w:p>
      <w:pPr>
        <w:numPr>
          <w:ilvl w:val="0"/>
          <w:numId w:val="1011"/>
        </w:numPr>
        <w:pStyle w:val="Compact"/>
      </w:pPr>
      <w:r>
        <w:rPr>
          <w:bCs/>
          <w:b/>
        </w:rPr>
        <w:t xml:space="preserve">Manufacturing Energy:</w:t>
      </w:r>
      <w:r>
        <w:t xml:space="preserve"> </w:t>
      </w:r>
      <w:r>
        <w:t xml:space="preserve">Emissions from manufacturing energy (Scope 2) are also substantial, at about 16% (3.42 kgCO2e), even with 60% renewable energy usage. The remaining 40% from the China grid mix still contributes significantly.</w:t>
      </w:r>
    </w:p>
    <w:p>
      <w:pPr>
        <w:numPr>
          <w:ilvl w:val="0"/>
          <w:numId w:val="1011"/>
        </w:numPr>
        <w:pStyle w:val="Compact"/>
      </w:pPr>
      <w:r>
        <w:rPr>
          <w:bCs/>
          <w:b/>
        </w:rPr>
        <w:t xml:space="preserve">End-of-Life:</w:t>
      </w:r>
      <w:r>
        <w:t xml:space="preserve"> </w:t>
      </w:r>
      <w:r>
        <w:t xml:space="preserve">The end-of-life stage provides a net credit (-0.89 kgCO2e), demonstrating the positive impact of recycling and circular economy programs.</w:t>
      </w:r>
    </w:p>
    <w:bookmarkEnd w:id="45"/>
    <w:bookmarkStart w:id="46" w:name="reliability-and-data-quality"/>
    <w:p>
      <w:pPr>
        <w:pStyle w:val="Heading4"/>
      </w:pPr>
      <w:r>
        <w:t xml:space="preserve">Reliability and Data Quality:</w:t>
      </w:r>
    </w:p>
    <w:p>
      <w:pPr>
        <w:pStyle w:val="FirstParagraph"/>
      </w:pPr>
      <w:r>
        <w:t xml:space="preserve">The reliability of this PCF is directly dependent on the accuracy and completeness of the input data. As this report utilized illustrative data for several parameters (BOM, transport distances/modes, energy mix, use phase consumption, EoL scenarios) due to placeholder inputs, the results should be considered indicative. For future, definitive PCF calculations, feuziplfyw should prioritize:</w:t>
      </w:r>
    </w:p>
    <w:p>
      <w:pPr>
        <w:numPr>
          <w:ilvl w:val="0"/>
          <w:numId w:val="1012"/>
        </w:numPr>
        <w:pStyle w:val="Compact"/>
      </w:pPr>
      <w:r>
        <w:t xml:space="preserve">Collecting primary data from suppliers for BOM components and their manufacturing processes.</w:t>
      </w:r>
    </w:p>
    <w:p>
      <w:pPr>
        <w:numPr>
          <w:ilvl w:val="0"/>
          <w:numId w:val="1012"/>
        </w:numPr>
        <w:pStyle w:val="Compact"/>
      </w:pPr>
      <w:r>
        <w:t xml:space="preserve">Obtaining specific data on energy consumption and renewable energy mix at the production facility.</w:t>
      </w:r>
    </w:p>
    <w:p>
      <w:pPr>
        <w:numPr>
          <w:ilvl w:val="0"/>
          <w:numId w:val="1012"/>
        </w:numPr>
        <w:pStyle w:val="Compact"/>
      </w:pPr>
      <w:r>
        <w:t xml:space="preserve">Detailed transport data (distances, modes, actual load factors) for all inbound and outbound logistics.</w:t>
      </w:r>
    </w:p>
    <w:p>
      <w:pPr>
        <w:numPr>
          <w:ilvl w:val="0"/>
          <w:numId w:val="1012"/>
        </w:numPr>
        <w:pStyle w:val="Compact"/>
      </w:pPr>
      <w:r>
        <w:t xml:space="preserve">Verifying use-phase energy consumption patterns with market research or product testing.</w:t>
      </w:r>
    </w:p>
    <w:p>
      <w:pPr>
        <w:numPr>
          <w:ilvl w:val="0"/>
          <w:numId w:val="1012"/>
        </w:numPr>
        <w:pStyle w:val="Compact"/>
      </w:pPr>
      <w:r>
        <w:t xml:space="preserve">Detailed data on actual recycling rates and EoL treatment pathways for product components.</w:t>
      </w:r>
    </w:p>
    <w:p>
      <w:r>
        <w:pict>
          <v:rect style="width:0;height:1.5pt" o:hralign="center" o:hrstd="t" o:hr="t"/>
        </w:pict>
      </w:r>
    </w:p>
    <w:bookmarkEnd w:id="46"/>
    <w:bookmarkEnd w:id="47"/>
    <w:bookmarkEnd w:id="48"/>
    <w:bookmarkStart w:id="50" w:name="conclusion-and-recommendations"/>
    <w:p>
      <w:pPr>
        <w:pStyle w:val="Heading2"/>
      </w:pPr>
      <w:r>
        <w:t xml:space="preserve">Conclusion and Recommendations</w:t>
      </w:r>
    </w:p>
    <w:p>
      <w:pPr>
        <w:pStyle w:val="FirstParagraph"/>
      </w:pPr>
      <w:r>
        <w:t xml:space="preserve">The Product Carbon Footprint for xevhsqrhdu is calculated to be</w:t>
      </w:r>
      <w:r>
        <w:t xml:space="preserve"> </w:t>
      </w:r>
      <w:r>
        <w:rPr>
          <w:bCs/>
          <w:b/>
        </w:rPr>
        <w:t xml:space="preserve">21.53 kgCO2e per unit</w:t>
      </w:r>
      <w:r>
        <w:t xml:space="preserve"> </w:t>
      </w:r>
      <w:r>
        <w:t xml:space="preserve">on a cradle-to-grave basis. The analysis highlights the use phase, raw materials, and manufacturing energy as primary emission hotspots.</w:t>
      </w:r>
    </w:p>
    <w:bookmarkStart w:id="49" w:name="key-recommendations-for-feuziplfyw"/>
    <w:p>
      <w:pPr>
        <w:pStyle w:val="Heading3"/>
      </w:pPr>
      <w:r>
        <w:t xml:space="preserve">Key Recommendations for feuziplfyw:</w:t>
      </w:r>
    </w:p>
    <w:p>
      <w:pPr>
        <w:numPr>
          <w:ilvl w:val="0"/>
          <w:numId w:val="1013"/>
        </w:numPr>
        <w:pStyle w:val="Compact"/>
      </w:pPr>
      <w:r>
        <w:rPr>
          <w:bCs/>
          <w:b/>
        </w:rPr>
        <w:t xml:space="preserve">Optimize Use Phase Efficiency:</w:t>
      </w:r>
      <w:r>
        <w:t xml:space="preserve"> </w:t>
      </w:r>
      <w:r>
        <w:t xml:space="preserve">Given the significant impact of the use phase, investigate design improvements to reduce the product\'s energy consumption during its lifespan. This could include energy-efficient components, smart power management features, or extending product durability to reduce replacement frequency.</w:t>
      </w:r>
    </w:p>
    <w:p>
      <w:pPr>
        <w:numPr>
          <w:ilvl w:val="0"/>
          <w:numId w:val="1013"/>
        </w:numPr>
        <w:pStyle w:val="Compact"/>
      </w:pPr>
      <w:r>
        <w:rPr>
          <w:bCs/>
          <w:b/>
        </w:rPr>
        <w:t xml:space="preserve">Sustainable Material Sourcing:</w:t>
      </w:r>
      <w:r>
        <w:t xml:space="preserve"> </w:t>
      </w:r>
      <w:r>
        <w:t xml:space="preserve">Explore opportunities to substitute high-impact materials (e.g., certain plastics, metals) with lower-carbon alternatives, including recycled content, bio-based materials, or materials with verified lower embodied carbon from suppliers. Engage with suppliers to obtain primary emission data for purchased goods and services.</w:t>
      </w:r>
    </w:p>
    <w:p>
      <w:pPr>
        <w:numPr>
          <w:ilvl w:val="0"/>
          <w:numId w:val="1013"/>
        </w:numPr>
        <w:pStyle w:val="Compact"/>
      </w:pPr>
      <w:r>
        <w:rPr>
          <w:bCs/>
          <w:b/>
        </w:rPr>
        <w:t xml:space="preserve">Enhance Manufacturing Decarbonization:</w:t>
      </w:r>
      <w:r>
        <w:t xml:space="preserve"> </w:t>
      </w:r>
      <w:r>
        <w:t xml:space="preserve">Increase the percentage of renewable energy used in the manufacturing facility beyond the current 60%. Investigate on-site renewable energy generation or procure certified renewable energy through power purchase agreements (PPAs) or renewable energy certificates (RECs).</w:t>
      </w:r>
    </w:p>
    <w:p>
      <w:pPr>
        <w:numPr>
          <w:ilvl w:val="0"/>
          <w:numId w:val="1013"/>
        </w:numPr>
        <w:pStyle w:val="Compact"/>
      </w:pPr>
      <w:r>
        <w:rPr>
          <w:bCs/>
          <w:b/>
        </w:rPr>
        <w:t xml:space="preserve">Refine Logistics:</w:t>
      </w:r>
      <w:r>
        <w:t xml:space="preserve"> </w:t>
      </w:r>
      <w:r>
        <w:t xml:space="preserve">Continuously optimize transport routes, prioritize lower-emission transport modes (e.g., rail over road where feasible), and ensure high load factors for all shipments. Explore localizing supply chains where economically and environmentally viable.</w:t>
      </w:r>
    </w:p>
    <w:p>
      <w:pPr>
        <w:numPr>
          <w:ilvl w:val="0"/>
          <w:numId w:val="1013"/>
        </w:numPr>
        <w:pStyle w:val="Compact"/>
      </w:pPr>
      <w:r>
        <w:rPr>
          <w:bCs/>
          <w:b/>
        </w:rPr>
        <w:t xml:space="preserve">Strengthen Circularity:</w:t>
      </w:r>
      <w:r>
        <w:t xml:space="preserve"> </w:t>
      </w:r>
      <w:r>
        <w:t xml:space="preserve">Continue to develop and expand circular economy initiatives, including take-back programs and design-for-recyclability/remanufacturability strategies, to maximize end-of-life credits and reduce reliance on virgin materials.</w:t>
      </w:r>
    </w:p>
    <w:p>
      <w:pPr>
        <w:numPr>
          <w:ilvl w:val="0"/>
          <w:numId w:val="1013"/>
        </w:numPr>
        <w:pStyle w:val="Compact"/>
      </w:pPr>
      <w:r>
        <w:rPr>
          <w:bCs/>
          <w:b/>
        </w:rPr>
        <w:t xml:space="preserve">Data System &amp; Reporting:</w:t>
      </w:r>
      <w:r>
        <w:t xml:space="preserve"> </w:t>
      </w:r>
      <w:r>
        <w:t xml:space="preserve">Implement robust data collection systems to gather high-quality primary data for all PCF parameters. This will improve the accuracy of future analyses and ensure compliance with evolving GHG Protocol standards, especially the 95% Scope 3 coverage target. Consider third-party verification for increased credibility.</w:t>
      </w:r>
    </w:p>
    <w:p>
      <w:pPr>
        <w:pStyle w:val="FirstParagraph"/>
      </w:pPr>
      <w:r>
        <w:t xml:space="preserve">By focusing on these areas, feuziplfyw can significantly reduce the environmental footprint of xevhsqrhdu and demonstrate strong commitment to sustainability.</w:t>
      </w:r>
    </w:p>
    <w:p>
      <w:pPr>
        <w:pStyle w:val="BodyText"/>
      </w:pPr>
      <w:r>
        <w:t xml:space="preserve">Confidential - Internal Use Only | gitsmufpuy, Senior Sustainability Consultant | Page</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xevhsqrhdu</dc:title>
  <dc:creator/>
  <dc:description>High-detail Product Carbon Footprint (PCF) analysis for xevhsqrhdu, adhering to GHG Protocol standards and including lifecycle emissions from materials, manufacturing, transport, use, and end-of-life.</dc:description>
  <dc:language>en</dc:language>
  <cp:keywords/>
  <dcterms:created xsi:type="dcterms:W3CDTF">2026-07-15T02:54:59Z</dcterms:created>
  <dcterms:modified xsi:type="dcterms:W3CDTF">2026-07-15T02:54:59Z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