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xeqjoizvhk</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xeqjoizvhk</w:t>
      </w:r>
    </w:p>
    <w:p>
      <w:pPr>
        <w:pStyle w:val="BodyText"/>
      </w:pPr>
      <w:r>
        <w:rPr>
          <w:bCs/>
          <w:b/>
        </w:rPr>
        <w:t xml:space="preserve">Company Name:</w:t>
      </w:r>
      <w:r>
        <w:t xml:space="preserve"> </w:t>
      </w:r>
      <w:r>
        <w:t xml:space="preserve">qohgzeiljo</w:t>
      </w:r>
    </w:p>
    <w:p>
      <w:pPr>
        <w:pStyle w:val="BodyText"/>
      </w:pPr>
      <w:r>
        <w:rPr>
          <w:bCs/>
          <w:b/>
        </w:rPr>
        <w:t xml:space="preserve">Senior Sustainability Consultant:</w:t>
      </w:r>
      <w:r>
        <w:t xml:space="preserve"> </w:t>
      </w:r>
      <w:r>
        <w:t xml:space="preserve">liwfuwturh</w:t>
      </w:r>
    </w:p>
    <w:p>
      <w:pPr>
        <w:pStyle w:val="BodyText"/>
      </w:pPr>
      <w:r>
        <w:rPr>
          <w:bCs/>
          <w:b/>
        </w:rPr>
        <w:t xml:space="preserve">Protocol Data (Accounting Standard):</w:t>
      </w:r>
      <w:r>
        <w:t xml:space="preserve"> </w:t>
      </w:r>
      <w:r>
        <w:t xml:space="preserve">GHG Protocol</w:t>
      </w:r>
    </w:p>
    <w:p>
      <w:pPr>
        <w:pStyle w:val="BodyText"/>
      </w:pPr>
      <w:r>
        <w:t xml:space="preserve">This report is generated based on available data and industry standards. While every effort has been made to ensure accuracy, the calculations presented herein are illustrative and rely on assumed values for certain parameters where specific primary data was not provided. Actual emissions may vary.</w:t>
      </w:r>
    </w:p>
    <w:bookmarkEnd w:id="20"/>
    <w:bookmarkStart w:id="21" w:name="Xa87d010c1fd868336511b306fbd202996615f12"/>
    <w:p>
      <w:pPr>
        <w:pStyle w:val="Heading1"/>
      </w:pPr>
      <w:r>
        <w:t xml:space="preserve">Product Carbon Footprint Analysis Report</w:t>
      </w:r>
    </w:p>
    <w:p>
      <w:pPr>
        <w:pStyle w:val="FirstParagraph"/>
      </w:pPr>
      <w:r>
        <w:rPr>
          <w:bCs/>
          <w:b/>
        </w:rPr>
        <w:t xml:space="preserve">Product:</w:t>
      </w:r>
      <w:r>
        <w:t xml:space="preserve"> </w:t>
      </w:r>
      <w:r>
        <w:t xml:space="preserve">xeqjoizvhk</w:t>
      </w:r>
    </w:p>
    <w:p>
      <w:pPr>
        <w:pStyle w:val="BodyText"/>
      </w:pPr>
      <w:r>
        <w:rPr>
          <w:bCs/>
          <w:b/>
        </w:rPr>
        <w:t xml:space="preserve">Company:</w:t>
      </w:r>
      <w:r>
        <w:t xml:space="preserve"> </w:t>
      </w:r>
      <w:r>
        <w:t xml:space="preserve">qohgzeiljo</w:t>
      </w:r>
    </w:p>
    <w:p>
      <w:pPr>
        <w:pStyle w:val="BodyText"/>
      </w:pPr>
      <w:r>
        <w:rPr>
          <w:bCs/>
          <w:b/>
        </w:rPr>
        <w:t xml:space="preserve">Senior Sustainability Consultant:</w:t>
      </w:r>
      <w:r>
        <w:t xml:space="preserve"> </w:t>
      </w:r>
      <w:r>
        <w:t xml:space="preserve">liwfuwturh</w:t>
      </w:r>
    </w:p>
    <w:p>
      <w:pPr>
        <w:pStyle w:val="BodyText"/>
      </w:pPr>
      <w:r>
        <w:rPr>
          <w:bCs/>
          <w:b/>
        </w:rPr>
        <w:t xml:space="preserve">Generated Date:</w:t>
      </w:r>
      <w:r>
        <w:t xml:space="preserve"> </w:t>
      </w:r>
      <w:r>
        <w:t xml:space="preserve">June 2,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xeqjoizvhk, developed for qohgzeiljo by Senior Sustainability Consultant liwfuwturh. The analysis rigorously adheres to the Greenhouse Gas (GHG) Protocol standards, including a forward-looking consideration of the 2026 Land Sector and Removals (LSR) Standard update. The primary objective is to quantify the total greenhouse gas emissions (in CO2e) across the product\'s lifecycle, from raw material extraction to end-of-life treatment (cradle-to-grave perspective, based on a factory-gate system boundary for direct operations and extending to downstream impacts for value chain). The assessment identifies key emission hotspots and provides a foundational understanding for qohgzeiljo to implement targeted decarbonization strategies and enhance the product\'s environmental performance.</w:t>
      </w:r>
    </w:p>
    <w:bookmarkEnd w:id="22"/>
    <w:p>
      <w:r>
        <w:pict>
          <v:rect style="width:0;height:1.5pt" o:hralign="center" o:hrstd="t" o:hr="t"/>
        </w:pict>
      </w:r>
    </w:p>
    <w:bookmarkStart w:id="23" w:name="scope-definition"/>
    <w:p>
      <w:pPr>
        <w:pStyle w:val="Heading2"/>
      </w:pPr>
      <w:r>
        <w:t xml:space="preserve">1. Scope Definition</w:t>
      </w:r>
    </w:p>
    <w:p>
      <w:pPr>
        <w:pStyle w:val="FirstParagraph"/>
      </w:pPr>
      <w:r>
        <w:t xml:space="preserve">The first step in a Product Carbon Footprint analysis is to clearly define the scope of the assessment, ensuring consistency and comparability of results.</w:t>
      </w:r>
    </w:p>
    <w:p>
      <w:pPr>
        <w:numPr>
          <w:ilvl w:val="0"/>
          <w:numId w:val="1001"/>
        </w:numPr>
        <w:pStyle w:val="Compact"/>
      </w:pPr>
      <w:r>
        <w:rPr>
          <w:bCs/>
          <w:b/>
        </w:rPr>
        <w:t xml:space="preserve">Functional Unit:</w:t>
      </w:r>
      <w:r>
        <w:t xml:space="preserve"> </w:t>
      </w:r>
      <w:r>
        <w:t xml:space="preserve">The functional unit for this PCF is defined as</w:t>
      </w:r>
      <w:r>
        <w:t xml:space="preserve"> </w:t>
      </w:r>
      <w:r>
        <w:rPr>
          <w:bCs/>
          <w:b/>
        </w:rPr>
        <w:t xml:space="preserve">1.0 unit of xeqjoizvhk</w:t>
      </w:r>
      <w:r>
        <w:t xml:space="preserve">. This unit serves as the reference basis for all quantified environmental impacts.</w:t>
      </w:r>
    </w:p>
    <w:p>
      <w:pPr>
        <w:numPr>
          <w:ilvl w:val="0"/>
          <w:numId w:val="1001"/>
        </w:numPr>
        <w:pStyle w:val="Compact"/>
      </w:pPr>
      <w:r>
        <w:rPr>
          <w:bCs/>
          <w:b/>
        </w:rPr>
        <w:t xml:space="preserve">System Boundary:</w:t>
      </w:r>
      <w:r>
        <w:t xml:space="preserve"> </w:t>
      </w:r>
      <w:r>
        <w:t xml:space="preserve">The analysis adopts a</w:t>
      </w:r>
      <w:r>
        <w:t xml:space="preserve"> </w:t>
      </w:r>
      <w:r>
        <w:rPr>
          <w:bCs/>
          <w:b/>
        </w:rPr>
        <w:t xml:space="preserve">\'factory_gate\'</w:t>
      </w:r>
      <w:r>
        <w:t xml:space="preserve"> </w:t>
      </w:r>
      <w:r>
        <w:t xml:space="preserve">perspective for direct operational control, extending to a comprehensive "cradle-to-grave" approach for the entire product lifecycle to capture all relevant Scope 3 emissions. This includes raw material acquisition, manufacturing, transportation, use, and end-of-life stages.</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(for key material sourcing and downstream markets)</w:t>
      </w:r>
    </w:p>
    <w:p>
      <w:pPr>
        <w:numPr>
          <w:ilvl w:val="0"/>
          <w:numId w:val="1001"/>
        </w:numPr>
        <w:pStyle w:val="Compact"/>
      </w:pPr>
      <w:r>
        <w:rPr>
          <w:bCs/>
          <w:b/>
        </w:rPr>
        <w:t xml:space="preserve">Accounting Standard:</w:t>
      </w:r>
      <w:r>
        <w:t xml:space="preserve"> </w:t>
      </w:r>
      <w:r>
        <w:t xml:space="preserve">The assessment is conducted in full compliance with the</w:t>
      </w:r>
      <w:r>
        <w:t xml:space="preserve"> </w:t>
      </w:r>
      <w:r>
        <w:rPr>
          <w:bCs/>
          <w:b/>
        </w:rPr>
        <w:t xml:space="preserve">GHG Protocol</w:t>
      </w:r>
      <w:r>
        <w:t xml:space="preserve">, specifically referencing the Product Standard and the Corporate Value Chain (Scope 3) Standard. Emissions are categorized into Scope 1 (direct emissions from owned or controlled sources), Scope 2 (indirect emissions from the generation of purchased energy), and Scope 3 (all other indirect emissions in the value chain).</w:t>
      </w:r>
    </w:p>
    <w:p>
      <w:pPr>
        <w:numPr>
          <w:ilvl w:val="0"/>
          <w:numId w:val="1001"/>
        </w:numPr>
        <w:pStyle w:val="Compact"/>
      </w:pPr>
      <w:r>
        <w:rPr>
          <w:bCs/>
          <w:b/>
        </w:rPr>
        <w:t xml:space="preserve">Allocation:</w:t>
      </w:r>
      <w:r>
        <w:t xml:space="preserve"> </w:t>
      </w:r>
      <w:r>
        <w:t xml:space="preserve">Where co-production or multi-functional processes occur, allocation of environmental impacts is performed based on scientifically justifiable methods, typically mass-based or economic allocation, to ensure impacts are fairly distributed to the functional unit. For this analysis, a mass-based allocation is primarily applied to upstream materials.</w:t>
      </w:r>
    </w:p>
    <w:p>
      <w:pPr>
        <w:pStyle w:val="FirstParagraph"/>
      </w:pPr>
      <w:r>
        <w:rPr>
          <w:bCs/>
          <w:b/>
        </w:rPr>
        <w:t xml:space="preserve">2026 LSR Update Considerations:</w:t>
      </w:r>
      <w:r>
        <w:t xml:space="preserve"> </w:t>
      </w:r>
      <w:r>
        <w:t xml:space="preserve">The GHG Protocol\'s Land Sector and Removals (LSR) Standard was released in January 2026 and takes effect on January 1, 2027. While its full implementation and accompanying guidance are developing throughout 2026, this report acknowledges its importance for comprehensive land-based emissions and removals accounting. For the generic product xeqjoizvhk, specific land-use changes or removals directly attributable at this detailed level are not explicitly modeled due to the product\'s nature and data availability but would be integrated for products with significant agricultural or forestry components.</w:t>
      </w:r>
    </w:p>
    <w:bookmarkEnd w:id="23"/>
    <w:p>
      <w:r>
        <w:pict>
          <v:rect style="width:0;height:1.5pt" o:hralign="center" o:hrstd="t" o:hr="t"/>
        </w:pict>
      </w:r>
    </w:p>
    <w:bookmarkStart w:id="33" w:name="X07cf0ea829f60a4f8fa47c00f72a11793fbe483"/>
    <w:p>
      <w:pPr>
        <w:pStyle w:val="Heading2"/>
      </w:pPr>
      <w:r>
        <w:t xml:space="preserve">2. Lifecycle Mapping (LCI Inventory Stages) &amp; 3. Data Collection</w:t>
      </w:r>
    </w:p>
    <w:p>
      <w:pPr>
        <w:pStyle w:val="FirstParagraph"/>
      </w:pPr>
      <w:r>
        <w:t xml:space="preserve">This section details the lifecycle stages considered and the data points collected or assumed for the analysis of xeqjoizvhk. The analysis covers upstream (materials, transport), core (production), and downstream (transport, use, end-of-life) phases.</w:t>
      </w:r>
    </w:p>
    <w:bookmarkStart w:id="26" w:name="Xada79e55b58d6c5a590db28a14376f901d9d610"/>
    <w:p>
      <w:pPr>
        <w:pStyle w:val="Heading3"/>
      </w:pPr>
      <w:r>
        <w:t xml:space="preserve">2.1. Upstream Phase (Scope 3 - Categories 1, 3, 4)</w:t>
      </w:r>
    </w:p>
    <w:bookmarkStart w:id="24" w:name="X589f82557a4b2055583dec38d40dae11c1cae81"/>
    <w:p>
      <w:pPr>
        <w:pStyle w:val="Heading4"/>
      </w:pPr>
      <w:r>
        <w:t xml:space="preserve">Detailed Bill of Materials (BOM) for xeqjoizvhk</w:t>
      </w:r>
    </w:p>
    <w:p>
      <w:pPr>
        <w:pStyle w:val="FirstParagraph"/>
      </w:pPr>
      <w:r>
        <w:t xml:space="preserve">The following Bill of Materials (BOM) is used for high-accuracy material impact calculation. The Emission Factor and Total Carbon values are specific to this analysis, with Total Carbon being calculated based on Quantity and Emission Factor. These values are illustrative where specific vendor data was not available.</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M1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Primary Production</w:t>
            </w:r>
          </w:p>
        </w:tc>
        <w:tc>
          <w:tcPr/>
          <w:p>
            <w:pPr>
              <w:pStyle w:val="Compact"/>
              <w:jc w:val="left"/>
            </w:pPr>
            <w:r>
              <w:t xml:space="preserve">0.50</w:t>
            </w:r>
          </w:p>
        </w:tc>
        <w:tc>
          <w:tcPr/>
          <w:p>
            <w:pPr>
              <w:pStyle w:val="Compact"/>
              <w:jc w:val="left"/>
            </w:pPr>
            <w:r>
              <w:t xml:space="preserve">kg</w:t>
            </w:r>
          </w:p>
        </w:tc>
        <w:tc>
          <w:tcPr/>
          <w:p>
            <w:pPr>
              <w:pStyle w:val="Compact"/>
              <w:jc w:val="left"/>
            </w:pPr>
            <w:r>
              <w:t xml:space="preserve">14.77</w:t>
            </w:r>
            <w:r>
              <w:t xml:space="preserve"> </w:t>
            </w:r>
          </w:p>
        </w:tc>
        <w:tc>
          <w:tcPr/>
          <w:p>
            <w:pPr>
              <w:pStyle w:val="Compact"/>
              <w:jc w:val="left"/>
            </w:pPr>
            <w:r>
              <w:t xml:space="preserve">7.385</w:t>
            </w:r>
          </w:p>
        </w:tc>
      </w:tr>
      <w:tr>
        <w:tc>
          <w:tcPr/>
          <w:p>
            <w:pPr>
              <w:pStyle w:val="Compact"/>
              <w:jc w:val="left"/>
            </w:pPr>
            <w:r>
              <w:t xml:space="preserve">M2</w:t>
            </w:r>
          </w:p>
        </w:tc>
        <w:tc>
          <w:tcPr/>
          <w:p>
            <w:pPr>
              <w:pStyle w:val="Compact"/>
              <w:jc w:val="left"/>
            </w:pPr>
            <w:r>
              <w:t xml:space="preserve">Plastic Housing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0.30</w:t>
            </w:r>
          </w:p>
        </w:tc>
        <w:tc>
          <w:tcPr/>
          <w:p>
            <w:pPr>
              <w:pStyle w:val="Compact"/>
              <w:jc w:val="left"/>
            </w:pPr>
            <w:r>
              <w:t xml:space="preserve">kg</w:t>
            </w:r>
          </w:p>
        </w:tc>
        <w:tc>
          <w:tcPr/>
          <w:p>
            <w:pPr>
              <w:pStyle w:val="Compact"/>
              <w:jc w:val="left"/>
            </w:pPr>
            <w:r>
              <w:t xml:space="preserve">2.50 (Illustrative)</w:t>
            </w:r>
          </w:p>
        </w:tc>
        <w:tc>
          <w:tcPr/>
          <w:p>
            <w:pPr>
              <w:pStyle w:val="Compact"/>
              <w:jc w:val="left"/>
            </w:pPr>
            <w:r>
              <w:t xml:space="preserve">0.750</w:t>
            </w:r>
          </w:p>
        </w:tc>
      </w:tr>
      <w:tr>
        <w:tc>
          <w:tcPr/>
          <w:p>
            <w:pPr>
              <w:pStyle w:val="Compact"/>
              <w:jc w:val="left"/>
            </w:pPr>
            <w:r>
              <w:t xml:space="preserve">M3</w:t>
            </w:r>
          </w:p>
        </w:tc>
        <w:tc>
          <w:tcPr/>
          <w:p>
            <w:pPr>
              <w:pStyle w:val="Compact"/>
              <w:jc w:val="left"/>
            </w:pPr>
            <w:r>
              <w:t xml:space="preserve">Electronic Board</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10.00 (Illustrative)</w:t>
            </w:r>
          </w:p>
        </w:tc>
        <w:tc>
          <w:tcPr/>
          <w:p>
            <w:pPr>
              <w:pStyle w:val="Compact"/>
              <w:jc w:val="left"/>
            </w:pPr>
            <w:r>
              <w:t xml:space="preserve">1.000</w:t>
            </w:r>
          </w:p>
        </w:tc>
      </w:tr>
      <w:tr>
        <w:tc>
          <w:tcPr/>
          <w:p>
            <w:pPr>
              <w:pStyle w:val="Compact"/>
              <w:jc w:val="left"/>
            </w:pPr>
            <w:r>
              <w:t xml:space="preserve">M4</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Manufacturing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1.50 (Illustrative)</w:t>
            </w:r>
          </w:p>
        </w:tc>
        <w:tc>
          <w:tcPr/>
          <w:p>
            <w:pPr>
              <w:pStyle w:val="Compact"/>
              <w:jc w:val="left"/>
            </w:pPr>
            <w:r>
              <w:t xml:space="preserve">0.150</w:t>
            </w:r>
          </w:p>
        </w:tc>
      </w:tr>
      <w:tr>
        <w:tc>
          <w:tcPr>
            <w:gridSpan w:val="7"/>
          </w:tcPr>
          <w:p>
            <w:pPr>
              <w:pStyle w:val="Compact"/>
              <w:jc w:val="right"/>
            </w:pPr>
            <w:r>
              <w:rPr>
                <w:bCs/>
                <w:b/>
              </w:rPr>
              <w:t xml:space="preserve">Total Material Carbon Impact:</w:t>
            </w:r>
          </w:p>
        </w:tc>
        <w:tc>
          <w:tcPr/>
          <w:p>
            <w:pPr>
              <w:pStyle w:val="Compact"/>
              <w:jc w:val="left"/>
            </w:pPr>
            <w:r>
              <w:rPr>
                <w:bCs/>
                <w:b/>
              </w:rPr>
              <w:t xml:space="preserve">9.285</w:t>
            </w:r>
          </w:p>
        </w:tc>
      </w:tr>
      <w:tr>
        <w:tc>
          <w:tcPr>
            <w:gridSpan w:val="7"/>
          </w:tcPr>
          <w:p>
            <w:pPr>
              <w:pStyle w:val="Compact"/>
              <w:jc w:val="right"/>
            </w:pPr>
            <w:r>
              <w:rPr>
                <w:bCs/>
                <w:b/>
              </w:rPr>
              <w:t xml:space="preserve">Total Product Weight:</w:t>
            </w:r>
          </w:p>
        </w:tc>
        <w:tc>
          <w:tcPr/>
          <w:p>
            <w:pPr>
              <w:pStyle w:val="Compact"/>
              <w:jc w:val="left"/>
            </w:pPr>
            <w:r>
              <w:rPr>
                <w:bCs/>
                <w:b/>
              </w:rPr>
              <w:t xml:space="preserve">1.00 kg</w:t>
            </w:r>
          </w:p>
        </w:tc>
      </w:tr>
    </w:tbl>
    <w:p>
      <w:pPr>
        <w:pStyle w:val="BodyText"/>
      </w:pPr>
      <w:r>
        <w:rPr>
          <w:iCs/>
          <w:i/>
        </w:rPr>
        <w:t xml:space="preserve">Note: The "Emission Factor" for raw materials represents the \'cradle-to-gate\' emissions of the material itself.</w:t>
      </w:r>
    </w:p>
    <w:bookmarkEnd w:id="24"/>
    <w:bookmarkStart w:id="25" w:name="Xe2a129befaa5400044119aea04c7ccf889e3cfc"/>
    <w:p>
      <w:pPr>
        <w:pStyle w:val="Heading4"/>
      </w:pPr>
      <w:r>
        <w:t xml:space="preserve">Upstream Transportation (Scope 3 - Category 4)</w:t>
      </w:r>
    </w:p>
    <w:p>
      <w:pPr>
        <w:pStyle w:val="FirstParagraph"/>
      </w:pPr>
      <w:r>
        <w:t xml:space="preserve">Transportation of raw materials and components from suppliers (Europe Focused Supply Chain) to the final production country (China).</w:t>
      </w:r>
    </w:p>
    <w:p>
      <w:pPr>
        <w:numPr>
          <w:ilvl w:val="0"/>
          <w:numId w:val="1003"/>
        </w:numPr>
        <w:pStyle w:val="Compact"/>
      </w:pPr>
      <w:r>
        <w:rPr>
          <w:bCs/>
          <w:b/>
        </w:rPr>
        <w:t xml:space="preserve">Transport Mode:</w:t>
      </w:r>
      <w:r>
        <w:t xml:space="preserve"> </w:t>
      </w:r>
      <w:r>
        <w:t xml:space="preserve">Road Freight (Heavy Goods Vehicle)</w:t>
      </w:r>
    </w:p>
    <w:p>
      <w:pPr>
        <w:numPr>
          <w:ilvl w:val="0"/>
          <w:numId w:val="1003"/>
        </w:numPr>
        <w:pStyle w:val="Compact"/>
      </w:pPr>
      <w:r>
        <w:rPr>
          <w:bCs/>
          <w:b/>
        </w:rPr>
        <w:t xml:space="preserve">Transport Distance:</w:t>
      </w:r>
      <w:r>
        <w:t xml:space="preserve"> </w:t>
      </w:r>
      <w:r>
        <w:t xml:space="preserve">5000 km (Illustrative average for key components from Europe to China production facility)</w:t>
      </w:r>
    </w:p>
    <w:p>
      <w:pPr>
        <w:numPr>
          <w:ilvl w:val="0"/>
          <w:numId w:val="1003"/>
        </w:numPr>
        <w:pStyle w:val="Compact"/>
      </w:pPr>
      <w:r>
        <w:rPr>
          <w:bCs/>
          <w:b/>
        </w:rPr>
        <w:t xml:space="preserve">Illustrative Emission Factor for Road Freight:</w:t>
      </w:r>
      <w:r>
        <w:t xml:space="preserve"> </w:t>
      </w:r>
      <w:r>
        <w:t xml:space="preserve">0.1 kg CO2e/tonne-km</w:t>
      </w:r>
      <w:r>
        <w:t xml:space="preserve"> </w:t>
      </w:r>
    </w:p>
    <w:bookmarkEnd w:id="25"/>
    <w:bookmarkEnd w:id="26"/>
    <w:bookmarkStart w:id="28" w:name="core-phase-production-scope-1-2"/>
    <w:p>
      <w:pPr>
        <w:pStyle w:val="Heading3"/>
      </w:pPr>
      <w:r>
        <w:t xml:space="preserve">2.2. Core Phase: Production (Scope 1 &amp; 2)</w:t>
      </w:r>
    </w:p>
    <w:p>
      <w:pPr>
        <w:pStyle w:val="FirstParagraph"/>
      </w:pPr>
      <w:r>
        <w:t xml:space="preserve">This phase covers the manufacturing of xeqjoizvhk in China.</w:t>
      </w:r>
    </w:p>
    <w:bookmarkStart w:id="27" w:name="energy-inputs"/>
    <w:p>
      <w:pPr>
        <w:pStyle w:val="Heading4"/>
      </w:pPr>
      <w:r>
        <w:t xml:space="preserve">Energy Inputs</w:t>
      </w:r>
    </w:p>
    <w:p>
      <w:pPr>
        <w:numPr>
          <w:ilvl w:val="0"/>
          <w:numId w:val="1004"/>
        </w:numPr>
        <w:pStyle w:val="Compact"/>
      </w:pPr>
      <w:r>
        <w:rPr>
          <w:bCs/>
          <w:b/>
        </w:rPr>
        <w:t xml:space="preserve">Energy Intensity (kWh/unit):</w:t>
      </w:r>
      <w:r>
        <w:t xml:space="preserve"> </w:t>
      </w:r>
      <w:r>
        <w:t xml:space="preserve">uuohmfkexl = 0.15 kWh/unit</w:t>
      </w:r>
    </w:p>
    <w:p>
      <w:pPr>
        <w:numPr>
          <w:ilvl w:val="0"/>
          <w:numId w:val="1004"/>
        </w:numPr>
        <w:pStyle w:val="Compact"/>
      </w:pPr>
      <w:r>
        <w:rPr>
          <w:bCs/>
          <w:b/>
        </w:rPr>
        <w:t xml:space="preserve">Renewable Energy Usage:</w:t>
      </w:r>
      <w:r>
        <w:t xml:space="preserve"> </w:t>
      </w:r>
      <w:r>
        <w:t xml:space="preserve">ntymkhspyk = 75% (Directly sourced renewable energy)</w:t>
      </w:r>
    </w:p>
    <w:p>
      <w:pPr>
        <w:numPr>
          <w:ilvl w:val="0"/>
          <w:numId w:val="1004"/>
        </w:numPr>
        <w:pStyle w:val="Compact"/>
      </w:pPr>
      <w:r>
        <w:rPr>
          <w:bCs/>
          <w:b/>
        </w:rPr>
        <w:t xml:space="preserve">Grid Electricity Usage:</w:t>
      </w:r>
      <w:r>
        <w:t xml:space="preserve"> </w:t>
      </w:r>
      <w:r>
        <w:t xml:space="preserve">(100% - 75%) = 25% of energy intensity sourced from the grid.</w:t>
      </w:r>
    </w:p>
    <w:p>
      <w:pPr>
        <w:numPr>
          <w:ilvl w:val="0"/>
          <w:numId w:val="1004"/>
        </w:numPr>
        <w:pStyle w:val="Compact"/>
      </w:pPr>
      <w:r>
        <w:rPr>
          <w:bCs/>
          <w:b/>
        </w:rPr>
        <w:t xml:space="preserve">Illustrative China Grid Electricity Emission Factor (2026):</w:t>
      </w:r>
      <w:r>
        <w:t xml:space="preserve"> </w:t>
      </w:r>
      <w:r>
        <w:t xml:space="preserve">0.5 kg CO2e/kWh (Based on projected values for China\'s grid mix in 2026)</w:t>
      </w:r>
      <w:r>
        <w:t xml:space="preserve"> </w:t>
      </w:r>
    </w:p>
    <w:p>
      <w:pPr>
        <w:pStyle w:val="FirstParagraph"/>
      </w:pPr>
      <w:r>
        <w:t xml:space="preserve">Direct (Scope 1) emissions from on-site fuel combustion are assumed to be negligible for this product\'s final assembly and are not included in this illustrative breakdown unless specific data was provided. Major Scope 1 emissions would typically reside with raw material suppliers (e.g., primary aluminum production smelters).</w:t>
      </w:r>
    </w:p>
    <w:bookmarkEnd w:id="27"/>
    <w:bookmarkEnd w:id="28"/>
    <w:bookmarkStart w:id="32" w:name="Xbb545a88ea90988d04400e45849474527cb4b1c"/>
    <w:p>
      <w:pPr>
        <w:pStyle w:val="Heading3"/>
      </w:pPr>
      <w:r>
        <w:t xml:space="preserve">2.3. Downstream Phase (Scope 3 - Categories 9, 11, 12)</w:t>
      </w:r>
    </w:p>
    <w:bookmarkStart w:id="29" w:name="Xf7374cff67ec585b1a68b57995025cee79b6077"/>
    <w:p>
      <w:pPr>
        <w:pStyle w:val="Heading4"/>
      </w:pPr>
      <w:r>
        <w:t xml:space="preserve">Downstream Transportation and Distribution (Scope 3 - Category 9)</w:t>
      </w:r>
    </w:p>
    <w:p>
      <w:pPr>
        <w:pStyle w:val="FirstParagraph"/>
      </w:pPr>
      <w:r>
        <w:t xml:space="preserve">Transportation of the finished product from the factory (China) to the market (Europe) and last-mile delivery.</w:t>
      </w:r>
    </w:p>
    <w:p>
      <w:pPr>
        <w:numPr>
          <w:ilvl w:val="0"/>
          <w:numId w:val="1005"/>
        </w:numPr>
        <w:pStyle w:val="Compact"/>
      </w:pPr>
      <w:r>
        <w:rPr>
          <w:bCs/>
          <w:b/>
        </w:rPr>
        <w:t xml:space="preserve">Primary Transport (China to Europe):</w:t>
      </w:r>
    </w:p>
    <w:p>
      <w:pPr>
        <w:numPr>
          <w:ilvl w:val="1"/>
          <w:numId w:val="1006"/>
        </w:numPr>
        <w:pStyle w:val="Compact"/>
      </w:pPr>
      <w:r>
        <w:rPr>
          <w:bCs/>
          <w:b/>
        </w:rPr>
        <w:t xml:space="preserve">Transport Mode:</w:t>
      </w:r>
      <w:r>
        <w:t xml:space="preserve"> </w:t>
      </w:r>
      <w:r>
        <w:t xml:space="preserve">Road Freight (Heavy Goods Vehicle)</w:t>
      </w:r>
    </w:p>
    <w:p>
      <w:pPr>
        <w:numPr>
          <w:ilvl w:val="1"/>
          <w:numId w:val="1006"/>
        </w:numPr>
        <w:pStyle w:val="Compact"/>
      </w:pPr>
      <w:r>
        <w:rPr>
          <w:bCs/>
          <w:b/>
        </w:rPr>
        <w:t xml:space="preserve">Transport Distance:</w:t>
      </w:r>
      <w:r>
        <w:t xml:space="preserve"> </w:t>
      </w:r>
      <w:r>
        <w:t xml:space="preserve">jehuquxfxk = 5000 km (Illustrative average)</w:t>
      </w:r>
    </w:p>
    <w:p>
      <w:pPr>
        <w:numPr>
          <w:ilvl w:val="1"/>
          <w:numId w:val="1006"/>
        </w:numPr>
        <w:pStyle w:val="Compact"/>
      </w:pPr>
      <w:r>
        <w:rPr>
          <w:bCs/>
          <w:b/>
        </w:rPr>
        <w:t xml:space="preserve">Illustrative Emission Factor for Road Freight:</w:t>
      </w:r>
      <w:r>
        <w:t xml:space="preserve"> </w:t>
      </w:r>
      <w:r>
        <w:t xml:space="preserve">0.1 kg CO2e/tonne-km</w:t>
      </w:r>
      <w:r>
        <w:t xml:space="preserve"> </w:t>
      </w:r>
    </w:p>
    <w:p>
      <w:pPr>
        <w:numPr>
          <w:ilvl w:val="0"/>
          <w:numId w:val="1005"/>
        </w:numPr>
        <w:pStyle w:val="Compact"/>
      </w:pPr>
      <w:r>
        <w:rPr>
          <w:bCs/>
          <w:b/>
        </w:rPr>
        <w:t xml:space="preserve">Last-Mile Delivery Channel:</w:t>
      </w:r>
    </w:p>
    <w:p>
      <w:pPr>
        <w:numPr>
          <w:ilvl w:val="1"/>
          <w:numId w:val="1007"/>
        </w:numPr>
        <w:pStyle w:val="Compact"/>
      </w:pPr>
      <w:r>
        <w:rPr>
          <w:bCs/>
          <w:b/>
        </w:rPr>
        <w:t xml:space="preserve">Delivery Type:</w:t>
      </w:r>
      <w:r>
        <w:t xml:space="preserve"> </w:t>
      </w:r>
      <w:r>
        <w:t xml:space="preserve">Parcel Van Delivery</w:t>
      </w:r>
    </w:p>
    <w:p>
      <w:pPr>
        <w:numPr>
          <w:ilvl w:val="1"/>
          <w:numId w:val="1007"/>
        </w:numPr>
        <w:pStyle w:val="Compact"/>
      </w:pPr>
      <w:r>
        <w:rPr>
          <w:bCs/>
          <w:b/>
        </w:rPr>
        <w:t xml:space="preserve">Transport Distance:</w:t>
      </w:r>
      <w:r>
        <w:t xml:space="preserve"> </w:t>
      </w:r>
      <w:r>
        <w:t xml:space="preserve">100 km (Illustrative average for last-mile in Europe)</w:t>
      </w:r>
    </w:p>
    <w:p>
      <w:pPr>
        <w:numPr>
          <w:ilvl w:val="1"/>
          <w:numId w:val="1007"/>
        </w:numPr>
        <w:pStyle w:val="Compact"/>
      </w:pPr>
      <w:r>
        <w:rPr>
          <w:bCs/>
          <w:b/>
        </w:rPr>
        <w:t xml:space="preserve">Illustrative Emission Factor for Parcel Van Delivery:</w:t>
      </w:r>
      <w:r>
        <w:t xml:space="preserve"> </w:t>
      </w:r>
      <w:r>
        <w:t xml:space="preserve">0.1 kg CO2e/tonne-km (Using general road freight EF for simplicity)</w:t>
      </w:r>
    </w:p>
    <w:bookmarkEnd w:id="29"/>
    <w:bookmarkStart w:id="30" w:name="use-phase-scope-3---category-11"/>
    <w:p>
      <w:pPr>
        <w:pStyle w:val="Heading4"/>
      </w:pPr>
      <w:r>
        <w:t xml:space="preserve">Use Phase (Scope 3 - Category 11)</w:t>
      </w:r>
    </w:p>
    <w:p>
      <w:pPr>
        <w:pStyle w:val="FirstParagraph"/>
      </w:pPr>
      <w:r>
        <w:t xml:space="preserve">Emissions generated during the product\'s operational life by the end-user.</w:t>
      </w:r>
    </w:p>
    <w:p>
      <w:pPr>
        <w:numPr>
          <w:ilvl w:val="0"/>
          <w:numId w:val="1008"/>
        </w:numPr>
        <w:pStyle w:val="Compact"/>
      </w:pPr>
      <w:r>
        <w:rPr>
          <w:bCs/>
          <w:b/>
        </w:rPr>
        <w:t xml:space="preserve">Product Lifespan:</w:t>
      </w:r>
      <w:r>
        <w:t xml:space="preserve"> </w:t>
      </w:r>
      <w:r>
        <w:t xml:space="preserve">frfqrpimuj = 5 years</w:t>
      </w:r>
    </w:p>
    <w:p>
      <w:pPr>
        <w:numPr>
          <w:ilvl w:val="0"/>
          <w:numId w:val="1008"/>
        </w:numPr>
        <w:pStyle w:val="Compact"/>
      </w:pPr>
      <w:r>
        <w:rPr>
          <w:bCs/>
          <w:b/>
        </w:rPr>
        <w:t xml:space="preserve">Energy Consumption in Use:</w:t>
      </w:r>
      <w:r>
        <w:t xml:space="preserve"> </w:t>
      </w:r>
      <w:r>
        <w:t xml:space="preserve">uyesnsfskx = 10 kWh/year</w:t>
      </w:r>
    </w:p>
    <w:p>
      <w:pPr>
        <w:numPr>
          <w:ilvl w:val="0"/>
          <w:numId w:val="1008"/>
        </w:numPr>
        <w:pStyle w:val="Compact"/>
      </w:pPr>
      <w:r>
        <w:rPr>
          <w:bCs/>
          <w:b/>
        </w:rPr>
        <w:t xml:space="preserve">Total Energy Consumption over Lifespan:</w:t>
      </w:r>
      <w:r>
        <w:t xml:space="preserve"> </w:t>
      </w:r>
      <w:r>
        <w:t xml:space="preserve">5 years * 10 kWh/year = 50 kWh</w:t>
      </w:r>
    </w:p>
    <w:p>
      <w:pPr>
        <w:numPr>
          <w:ilvl w:val="0"/>
          <w:numId w:val="1008"/>
        </w:numPr>
        <w:pStyle w:val="Compact"/>
      </w:pPr>
      <w:r>
        <w:rPr>
          <w:bCs/>
          <w:b/>
        </w:rPr>
        <w:t xml:space="preserve">Geographic Scope of Use:</w:t>
      </w:r>
      <w:r>
        <w:t xml:space="preserve"> </w:t>
      </w:r>
      <w:r>
        <w:t xml:space="preserve">Europe</w:t>
      </w:r>
    </w:p>
    <w:p>
      <w:pPr>
        <w:numPr>
          <w:ilvl w:val="0"/>
          <w:numId w:val="1008"/>
        </w:numPr>
        <w:pStyle w:val="Compact"/>
      </w:pPr>
      <w:r>
        <w:rPr>
          <w:bCs/>
          <w:b/>
        </w:rPr>
        <w:t xml:space="preserve">Illustrative Europe Grid Electricity Emission Factor (2026):</w:t>
      </w:r>
      <w:r>
        <w:t xml:space="preserve"> </w:t>
      </w:r>
      <w:r>
        <w:t xml:space="preserve">0.15 kg CO2e/kWh (Based on projected values for Europe\'s grid mix in 2026)</w:t>
      </w:r>
      <w:r>
        <w:t xml:space="preserve"> </w:t>
      </w:r>
    </w:p>
    <w:bookmarkEnd w:id="30"/>
    <w:bookmarkStart w:id="31" w:name="X3a665f80ed39d0ecd28f8d1a57827ce097b2377"/>
    <w:p>
      <w:pPr>
        <w:pStyle w:val="Heading4"/>
      </w:pPr>
      <w:r>
        <w:t xml:space="preserve">End-of-Life (EoL) Scenarios (Scope 3 - Category 12)</w:t>
      </w:r>
    </w:p>
    <w:p>
      <w:pPr>
        <w:pStyle w:val="FirstParagraph"/>
      </w:pPr>
      <w:r>
        <w:t xml:space="preserve">Emissions associated with the disposal or recycling of the product at the end of its useful life.</w:t>
      </w:r>
    </w:p>
    <w:p>
      <w:pPr>
        <w:numPr>
          <w:ilvl w:val="0"/>
          <w:numId w:val="1009"/>
        </w:numPr>
        <w:pStyle w:val="Compact"/>
      </w:pPr>
      <w:r>
        <w:rPr>
          <w:bCs/>
          <w:b/>
        </w:rPr>
        <w:t xml:space="preserve">Recyclability Percentage:</w:t>
      </w:r>
      <w:r>
        <w:t xml:space="preserve"> </w:t>
      </w:r>
      <w:r>
        <w:t xml:space="preserve">umrwvirgtj = 80% (By mass)</w:t>
      </w:r>
    </w:p>
    <w:p>
      <w:pPr>
        <w:numPr>
          <w:ilvl w:val="0"/>
          <w:numId w:val="1009"/>
        </w:numPr>
        <w:pStyle w:val="Compact"/>
      </w:pPr>
      <w:r>
        <w:rPr>
          <w:bCs/>
          <w:b/>
        </w:rPr>
        <w:t xml:space="preserve">Circular/Take-back Programs:</w:t>
      </w:r>
      <w:r>
        <w:t xml:space="preserve"> </w:t>
      </w:r>
      <w:r>
        <w:t xml:space="preserve">gjfuudiwrq = qohgzeiljo operates a robust take-back program ensuring materials are sorted and sent for appropriate recycling or recovery, minimizing landfill waste and maximizing material circularity.</w:t>
      </w:r>
    </w:p>
    <w:p>
      <w:pPr>
        <w:numPr>
          <w:ilvl w:val="0"/>
          <w:numId w:val="1009"/>
        </w:numPr>
        <w:pStyle w:val="Compact"/>
      </w:pPr>
      <w:r>
        <w:rPr>
          <w:bCs/>
          <w:b/>
        </w:rPr>
        <w:t xml:space="preserve">Assumptions:</w:t>
      </w:r>
      <w:r>
        <w:t xml:space="preserve"> </w:t>
      </w:r>
      <w:r>
        <w:t xml:space="preserve">Avoided emissions from recycling are estimated based on secondary material production, and remaining waste (20%) is assumed to go to landfill with associated emissions.</w:t>
      </w:r>
    </w:p>
    <w:bookmarkEnd w:id="31"/>
    <w:bookmarkEnd w:id="32"/>
    <w:bookmarkEnd w:id="33"/>
    <w:p>
      <w:r>
        <w:pict>
          <v:rect style="width:0;height:1.5pt" o:hralign="center" o:hrstd="t" o:hr="t"/>
        </w:pict>
      </w:r>
    </w:p>
    <w:bookmarkStart w:id="36" w:name="emission-calculations"/>
    <w:p>
      <w:pPr>
        <w:pStyle w:val="Heading2"/>
      </w:pPr>
      <w:r>
        <w:t xml:space="preserve">4. Emission Calculations</w:t>
      </w:r>
    </w:p>
    <w:p>
      <w:pPr>
        <w:pStyle w:val="FirstParagraph"/>
      </w:pPr>
      <w:r>
        <w:t xml:space="preserve">Emissions are calculated by multiplying activity data by relevant emission factors. This section details the calculations for each scope and category, with the goal of achieving at least 95% coverage for Scope 3 reporting as per 2026 requirements.</w:t>
      </w:r>
    </w:p>
    <w:bookmarkStart w:id="34" w:name="X02b3a4d1420e934068ec980441c88b3172d8731"/>
    <w:p>
      <w:pPr>
        <w:pStyle w:val="Heading3"/>
      </w:pPr>
      <w:r>
        <w:t xml:space="preserve">GHG Emissions Summary for xeqjoizvhk (per Functional Unit)</w:t>
      </w:r>
    </w:p>
    <w:tbl>
      <w:tblPr>
        <w:tblStyle w:val="Table"/>
        <w:tblW w:type="auto" w:w="0"/>
        <w:tblLook w:firstRow="1" w:lastRow="1"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GHG Scope &amp; Category</w:t>
            </w:r>
          </w:p>
        </w:tc>
        <w:tc>
          <w:tcPr/>
          <w:p>
            <w:pPr>
              <w:pStyle w:val="Compact"/>
              <w:jc w:val="left"/>
            </w:pPr>
            <w:r>
              <w:t xml:space="preserve">Description</w:t>
            </w:r>
          </w:p>
        </w:tc>
        <w:tc>
          <w:tcPr/>
          <w:p>
            <w:pPr>
              <w:pStyle w:val="Compact"/>
              <w:jc w:val="left"/>
            </w:pPr>
            <w:r>
              <w:t xml:space="preserve">Activity Data</w:t>
            </w:r>
          </w:p>
        </w:tc>
        <w:tc>
          <w:tcPr/>
          <w:p>
            <w:pPr>
              <w:pStyle w:val="Compact"/>
              <w:jc w:val="left"/>
            </w:pPr>
            <w:r>
              <w:t xml:space="preserve">Emission Factor</w:t>
            </w:r>
          </w:p>
        </w:tc>
        <w:tc>
          <w:tcPr/>
          <w:p>
            <w:pPr>
              <w:pStyle w:val="Compact"/>
              <w:jc w:val="left"/>
            </w:pPr>
            <w:r>
              <w:t xml:space="preserve">Calculated CO2e (kg)</w:t>
            </w:r>
          </w:p>
        </w:tc>
      </w:tr>
      <w:tr>
        <w:tc>
          <w:tcPr/>
          <w:p>
            <w:pPr>
              <w:pStyle w:val="Compact"/>
              <w:jc w:val="left"/>
            </w:pPr>
            <w:r>
              <w:rPr>
                <w:bCs/>
                <w:b/>
              </w:rPr>
              <w:t xml:space="preserve">Scope 1</w:t>
            </w:r>
          </w:p>
        </w:tc>
        <w:tc>
          <w:tcPr/>
          <w:p>
            <w:pPr>
              <w:pStyle w:val="Compact"/>
              <w:jc w:val="left"/>
            </w:pPr>
            <w:r>
              <w:t xml:space="preserve">Direct Emissions (e.g., on-site fuel combustion)</w:t>
            </w:r>
          </w:p>
        </w:tc>
        <w:tc>
          <w:tcPr/>
          <w:p>
            <w:pPr>
              <w:pStyle w:val="Compact"/>
              <w:jc w:val="left"/>
            </w:pPr>
            <w:r>
              <w:t xml:space="preserve">Not applicable for final assembly</w:t>
            </w:r>
          </w:p>
        </w:tc>
        <w:tc>
          <w:tcPr/>
          <w:p>
            <w:pPr>
              <w:pStyle w:val="Compact"/>
              <w:jc w:val="left"/>
            </w:pPr>
            <w:r>
              <w:t xml:space="preserve">-</w:t>
            </w:r>
          </w:p>
        </w:tc>
        <w:tc>
          <w:tcPr/>
          <w:p>
            <w:pPr>
              <w:pStyle w:val="Compact"/>
              <w:jc w:val="left"/>
            </w:pPr>
            <w:r>
              <w:t xml:space="preserve">0.000</w:t>
            </w:r>
          </w:p>
        </w:tc>
      </w:tr>
      <w:tr>
        <w:tc>
          <w:tcPr/>
          <w:p>
            <w:pPr>
              <w:pStyle w:val="Compact"/>
              <w:jc w:val="left"/>
            </w:pPr>
            <w:r>
              <w:rPr>
                <w:bCs/>
                <w:b/>
              </w:rPr>
              <w:t xml:space="preserve">Scope 2</w:t>
            </w:r>
          </w:p>
        </w:tc>
        <w:tc>
          <w:tcPr/>
          <w:p>
            <w:pPr>
              <w:pStyle w:val="Compact"/>
              <w:jc w:val="left"/>
            </w:pPr>
            <w:r>
              <w:t xml:space="preserve">Purchased Electricity (for Production in China)</w:t>
            </w:r>
          </w:p>
        </w:tc>
        <w:tc>
          <w:tcPr/>
          <w:p>
            <w:pPr>
              <w:pStyle w:val="Compact"/>
              <w:jc w:val="left"/>
            </w:pPr>
            <w:r>
              <w:t xml:space="preserve">0.15 kWh/unit * (1 - 0.75 renewable usage) = 0.0375 kWh from grid</w:t>
            </w:r>
          </w:p>
        </w:tc>
        <w:tc>
          <w:tcPr/>
          <w:p>
            <w:pPr>
              <w:pStyle w:val="Compact"/>
              <w:jc w:val="left"/>
            </w:pPr>
            <w:r>
              <w:t xml:space="preserve">0.5 kgCO2e/kWh (China Grid)</w:t>
            </w:r>
            <w:r>
              <w:t xml:space="preserve"> </w:t>
            </w:r>
          </w:p>
        </w:tc>
        <w:tc>
          <w:tcPr/>
          <w:p>
            <w:pPr>
              <w:pStyle w:val="Compact"/>
              <w:jc w:val="left"/>
            </w:pPr>
            <w:r>
              <w:t xml:space="preserve">0.019</w:t>
            </w:r>
          </w:p>
        </w:tc>
      </w:tr>
      <w:tr>
        <w:tc>
          <w:tcPr/>
          <w:p>
            <w:pPr>
              <w:pStyle w:val="Compact"/>
              <w:jc w:val="left"/>
            </w:pPr>
            <w:r>
              <w:rPr>
                <w:bCs/>
                <w:b/>
              </w:rPr>
              <w:t xml:space="preserve">Scope 3 - Upstream</w:t>
            </w:r>
          </w:p>
        </w:tc>
        <w:tc>
          <w:tcPr/>
          <w:p>
            <w:pPr>
              <w:pStyle w:val="Compact"/>
            </w:pPr>
          </w:p>
        </w:tc>
        <w:tc>
          <w:tcPr/>
          <w:p>
            <w:pPr>
              <w:pStyle w:val="Compact"/>
            </w:pPr>
          </w:p>
        </w:tc>
        <w:tc>
          <w:tcPr/>
          <w:p>
            <w:pPr>
              <w:pStyle w:val="Compact"/>
            </w:pPr>
          </w:p>
        </w:tc>
        <w:tc>
          <w:tcPr/>
          <w:p>
            <w:pPr>
              <w:pStyle w:val="Compact"/>
            </w:pPr>
          </w:p>
        </w:tc>
      </w:tr>
      <w:tr>
        <w:tc>
          <w:tcPr/>
          <w:p>
            <w:pPr>
              <w:pStyle w:val="Compact"/>
              <w:jc w:val="left"/>
            </w:pPr>
            <w:r>
              <w:t xml:space="preserve">    Category 1: Purchased Goods &amp; Services (Materials)</w:t>
            </w:r>
          </w:p>
        </w:tc>
        <w:tc>
          <w:tcPr/>
          <w:p>
            <w:pPr>
              <w:pStyle w:val="Compact"/>
              <w:jc w:val="left"/>
            </w:pPr>
            <w:r>
              <w:t xml:space="preserve">Raw materials (Aluminum, Plastic, Electronics, Packaging)</w:t>
            </w:r>
          </w:p>
        </w:tc>
        <w:tc>
          <w:tcPr/>
          <w:p>
            <w:pPr>
              <w:pStyle w:val="Compact"/>
              <w:jc w:val="left"/>
            </w:pPr>
            <w:r>
              <w:t xml:space="preserve">BOM total material carbon</w:t>
            </w:r>
          </w:p>
        </w:tc>
        <w:tc>
          <w:tcPr/>
          <w:p>
            <w:pPr>
              <w:pStyle w:val="Compact"/>
              <w:jc w:val="left"/>
            </w:pPr>
            <w:r>
              <w:t xml:space="preserve">-</w:t>
            </w:r>
          </w:p>
        </w:tc>
        <w:tc>
          <w:tcPr/>
          <w:p>
            <w:pPr>
              <w:pStyle w:val="Compact"/>
              <w:jc w:val="left"/>
            </w:pPr>
            <w:r>
              <w:t xml:space="preserve">9.285</w:t>
            </w:r>
          </w:p>
        </w:tc>
      </w:tr>
      <w:tr>
        <w:tc>
          <w:tcPr/>
          <w:p>
            <w:pPr>
              <w:pStyle w:val="Compact"/>
              <w:jc w:val="left"/>
            </w:pPr>
            <w:r>
              <w:t xml:space="preserve">    Category 3: Fuel- &amp; Energy-Related Activities (not in Scope 1 or 2)</w:t>
            </w:r>
          </w:p>
        </w:tc>
        <w:tc>
          <w:tcPr/>
          <w:p>
            <w:pPr>
              <w:pStyle w:val="Compact"/>
              <w:jc w:val="left"/>
            </w:pPr>
            <w:r>
              <w:t xml:space="preserve">Upstream energy losses, assumed embedded in material EFs</w:t>
            </w:r>
          </w:p>
        </w:tc>
        <w:tc>
          <w:tcPr/>
          <w:p>
            <w:pPr>
              <w:pStyle w:val="Compact"/>
            </w:pPr>
          </w:p>
        </w:tc>
        <w:tc>
          <w:tcPr/>
          <w:p>
            <w:pPr>
              <w:pStyle w:val="Compact"/>
            </w:pPr>
          </w:p>
        </w:tc>
        <w:tc>
          <w:tcPr/>
          <w:p>
            <w:pPr>
              <w:pStyle w:val="Compact"/>
              <w:jc w:val="left"/>
            </w:pPr>
            <w:r>
              <w:t xml:space="preserve">(Included in Cat. 1 EFs)</w:t>
            </w:r>
          </w:p>
        </w:tc>
      </w:tr>
      <w:tr>
        <w:tc>
          <w:tcPr/>
          <w:p>
            <w:pPr>
              <w:pStyle w:val="Compact"/>
              <w:jc w:val="left"/>
            </w:pPr>
            <w:r>
              <w:t xml:space="preserve">    Category 4: Upstream Transportation &amp; Distribution</w:t>
            </w:r>
          </w:p>
        </w:tc>
        <w:tc>
          <w:tcPr/>
          <w:p>
            <w:pPr>
              <w:pStyle w:val="Compact"/>
              <w:jc w:val="left"/>
            </w:pPr>
            <w:r>
              <w:t xml:space="preserve">Transport of 1.0 kg product materials from Europe to China (5000 km)</w:t>
            </w:r>
          </w:p>
        </w:tc>
        <w:tc>
          <w:tcPr/>
          <w:p>
            <w:pPr>
              <w:pStyle w:val="Compact"/>
              <w:jc w:val="left"/>
            </w:pPr>
            <w:r>
              <w:t xml:space="preserve">1.0 kg * 5000 km = 5 tonne-km</w:t>
            </w:r>
          </w:p>
        </w:tc>
        <w:tc>
          <w:tcPr/>
          <w:p>
            <w:pPr>
              <w:pStyle w:val="Compact"/>
              <w:jc w:val="left"/>
            </w:pPr>
            <w:r>
              <w:t xml:space="preserve">0.1 kgCO2e/tonne-km</w:t>
            </w:r>
            <w:r>
              <w:t xml:space="preserve"> </w:t>
            </w:r>
          </w:p>
        </w:tc>
        <w:tc>
          <w:tcPr/>
          <w:p>
            <w:pPr>
              <w:pStyle w:val="Compact"/>
              <w:jc w:val="left"/>
            </w:pPr>
            <w:r>
              <w:t xml:space="preserve">0.500</w:t>
            </w:r>
          </w:p>
        </w:tc>
      </w:tr>
      <w:tr>
        <w:tc>
          <w:tcPr/>
          <w:p>
            <w:pPr>
              <w:pStyle w:val="Compact"/>
              <w:jc w:val="left"/>
            </w:pPr>
            <w:r>
              <w:rPr>
                <w:bCs/>
                <w:b/>
              </w:rPr>
              <w:t xml:space="preserve">Scope 3 - Downstream</w:t>
            </w:r>
          </w:p>
        </w:tc>
        <w:tc>
          <w:tcPr/>
          <w:p>
            <w:pPr>
              <w:pStyle w:val="Compact"/>
            </w:pPr>
          </w:p>
        </w:tc>
        <w:tc>
          <w:tcPr/>
          <w:p>
            <w:pPr>
              <w:pStyle w:val="Compact"/>
            </w:pPr>
          </w:p>
        </w:tc>
        <w:tc>
          <w:tcPr/>
          <w:p>
            <w:pPr>
              <w:pStyle w:val="Compact"/>
            </w:pPr>
          </w:p>
        </w:tc>
        <w:tc>
          <w:tcPr/>
          <w:p>
            <w:pPr>
              <w:pStyle w:val="Compact"/>
            </w:pPr>
          </w:p>
        </w:tc>
      </w:tr>
      <w:tr>
        <w:tc>
          <w:tcPr/>
          <w:p>
            <w:pPr>
              <w:pStyle w:val="Compact"/>
              <w:jc w:val="left"/>
            </w:pPr>
            <w:r>
              <w:t xml:space="preserve">    Category 9: Downstream Transportation &amp; Distribution</w:t>
            </w:r>
          </w:p>
        </w:tc>
        <w:tc>
          <w:tcPr/>
          <w:p>
            <w:pPr>
              <w:pStyle w:val="Compact"/>
              <w:jc w:val="left"/>
            </w:pPr>
            <w:r>
              <w:t xml:space="preserve">Transport of 1.0 kg product from China to Europe (5000 km) &amp; Last-Mile (100 km)</w:t>
            </w:r>
          </w:p>
        </w:tc>
        <w:tc>
          <w:tcPr/>
          <w:p>
            <w:pPr>
              <w:pStyle w:val="Compact"/>
              <w:jc w:val="left"/>
            </w:pPr>
            <w:r>
              <w:t xml:space="preserve">1.0 kg * (5000 km + 100 km) = 5.1 tonne-km</w:t>
            </w:r>
          </w:p>
        </w:tc>
        <w:tc>
          <w:tcPr/>
          <w:p>
            <w:pPr>
              <w:pStyle w:val="Compact"/>
              <w:jc w:val="left"/>
            </w:pPr>
            <w:r>
              <w:t xml:space="preserve">0.1 kgCO2e/tonne-km</w:t>
            </w:r>
            <w:r>
              <w:t xml:space="preserve"> </w:t>
            </w:r>
          </w:p>
        </w:tc>
        <w:tc>
          <w:tcPr/>
          <w:p>
            <w:pPr>
              <w:pStyle w:val="Compact"/>
              <w:jc w:val="left"/>
            </w:pPr>
            <w:r>
              <w:t xml:space="preserve">0.510</w:t>
            </w:r>
          </w:p>
        </w:tc>
      </w:tr>
      <w:tr>
        <w:tc>
          <w:tcPr/>
          <w:p>
            <w:pPr>
              <w:pStyle w:val="Compact"/>
              <w:jc w:val="left"/>
            </w:pPr>
            <w:r>
              <w:t xml:space="preserve">    Category 11: Use of Sold Products</w:t>
            </w:r>
          </w:p>
        </w:tc>
        <w:tc>
          <w:tcPr/>
          <w:p>
            <w:pPr>
              <w:pStyle w:val="Compact"/>
              <w:jc w:val="left"/>
            </w:pPr>
            <w:r>
              <w:t xml:space="preserve">Energy consumption over 5-year lifespan (50 kWh) in Europe</w:t>
            </w:r>
          </w:p>
        </w:tc>
        <w:tc>
          <w:tcPr/>
          <w:p>
            <w:pPr>
              <w:pStyle w:val="Compact"/>
              <w:jc w:val="left"/>
            </w:pPr>
            <w:r>
              <w:t xml:space="preserve">50 kWh</w:t>
            </w:r>
          </w:p>
        </w:tc>
        <w:tc>
          <w:tcPr/>
          <w:p>
            <w:pPr>
              <w:pStyle w:val="Compact"/>
              <w:jc w:val="left"/>
            </w:pPr>
            <w:r>
              <w:t xml:space="preserve">0.15 kgCO2e/kWh (Europe Grid)</w:t>
            </w:r>
            <w:r>
              <w:t xml:space="preserve"> </w:t>
            </w:r>
          </w:p>
        </w:tc>
        <w:tc>
          <w:tcPr/>
          <w:p>
            <w:pPr>
              <w:pStyle w:val="Compact"/>
              <w:jc w:val="left"/>
            </w:pPr>
            <w:r>
              <w:t xml:space="preserve">7.500</w:t>
            </w:r>
          </w:p>
        </w:tc>
      </w:tr>
      <w:tr>
        <w:tc>
          <w:tcPr/>
          <w:p>
            <w:pPr>
              <w:pStyle w:val="Compact"/>
              <w:jc w:val="left"/>
            </w:pPr>
            <w:r>
              <w:t xml:space="preserve">    Category 12: End-of-Life Treatment of Sold Products</w:t>
            </w:r>
          </w:p>
        </w:tc>
        <w:tc>
          <w:tcPr/>
          <w:p>
            <w:pPr>
              <w:pStyle w:val="Compact"/>
              <w:jc w:val="left"/>
            </w:pPr>
            <w:r>
              <w:t xml:space="preserve">20% landfill (0.2 kg), 80% recycled (avoided emissions)</w:t>
            </w:r>
          </w:p>
        </w:tc>
        <w:tc>
          <w:tcPr/>
          <w:p>
            <w:pPr>
              <w:pStyle w:val="Compact"/>
              <w:jc w:val="left"/>
            </w:pPr>
            <w:r>
              <w:t xml:space="preserve">Assume 0.2 kg landfill impact @ 1.0 kgCO2e/kg (illustrative) &amp; 0.8 kg recycling credit @ -0.5 kgCO2e/kg (illustrative)</w:t>
            </w:r>
          </w:p>
        </w:tc>
        <w:tc>
          <w:tcPr/>
          <w:p>
            <w:pPr>
              <w:pStyle w:val="Compact"/>
              <w:jc w:val="left"/>
            </w:pPr>
            <w:r>
              <w:t xml:space="preserve">-</w:t>
            </w:r>
          </w:p>
        </w:tc>
        <w:tc>
          <w:tcPr/>
          <w:p>
            <w:pPr>
              <w:pStyle w:val="Compact"/>
              <w:jc w:val="left"/>
            </w:pPr>
            <w:r>
              <w:t xml:space="preserve">-0.200 (Net EoL)</w:t>
            </w:r>
          </w:p>
        </w:tc>
      </w:tr>
      <w:tr>
        <w:tc>
          <w:tcPr/>
          <w:p>
            <w:pPr>
              <w:pStyle w:val="Compact"/>
              <w:jc w:val="left"/>
            </w:pPr>
            <w:r>
              <w:t xml:space="preserve">    Other Scope 3 Categories (e.g., Capital Goods, Business Travel, etc.)</w:t>
            </w:r>
          </w:p>
        </w:tc>
        <w:tc>
          <w:tcPr/>
          <w:p>
            <w:pPr>
              <w:pStyle w:val="Compact"/>
              <w:jc w:val="left"/>
            </w:pPr>
            <w:r>
              <w:t xml:space="preserve">Considered, but assumed not material or embedded in upstream factors for this PCF level.</w:t>
            </w:r>
          </w:p>
        </w:tc>
        <w:tc>
          <w:tcPr/>
          <w:p>
            <w:pPr>
              <w:pStyle w:val="Compact"/>
              <w:jc w:val="left"/>
            </w:pPr>
            <w:r>
              <w:t xml:space="preserve">-</w:t>
            </w:r>
          </w:p>
        </w:tc>
        <w:tc>
          <w:tcPr/>
          <w:p>
            <w:pPr>
              <w:pStyle w:val="Compact"/>
              <w:jc w:val="left"/>
            </w:pPr>
            <w:r>
              <w:t xml:space="preserve">-</w:t>
            </w:r>
          </w:p>
        </w:tc>
        <w:tc>
          <w:tcPr/>
          <w:p>
            <w:pPr>
              <w:pStyle w:val="Compact"/>
              <w:jc w:val="left"/>
            </w:pPr>
            <w:r>
              <w:t xml:space="preserve">(N/A)</w:t>
            </w:r>
          </w:p>
        </w:tc>
      </w:tr>
      <w:tr>
        <w:tc>
          <w:tcPr>
            <w:gridSpan w:val="4"/>
          </w:tcPr>
          <w:p>
            <w:pPr>
              <w:pStyle w:val="Compact"/>
              <w:jc w:val="right"/>
            </w:pPr>
            <w:r>
              <w:rPr>
                <w:bCs/>
                <w:b/>
              </w:rPr>
              <w:t xml:space="preserve">Total Product Carbon Footprint (PCF) for xeqjoizvhk:</w:t>
            </w:r>
          </w:p>
        </w:tc>
        <w:tc>
          <w:tcPr/>
          <w:p>
            <w:pPr>
              <w:pStyle w:val="Compact"/>
              <w:jc w:val="left"/>
            </w:pPr>
            <w:r>
              <w:rPr>
                <w:bCs/>
                <w:b/>
              </w:rPr>
              <w:t xml:space="preserve">17.614 kgCO2e/unit</w:t>
            </w:r>
          </w:p>
        </w:tc>
      </w:tr>
    </w:tbl>
    <w:p>
      <w:pPr>
        <w:pStyle w:val="BodyText"/>
      </w:pPr>
      <w:r>
        <w:rPr>
          <w:iCs/>
          <w:i/>
        </w:rPr>
        <w:t xml:space="preserve">Note on Scope 3 Coverage: This analysis focuses on the most material Scope 3 categories for a manufactured product, including purchased goods and services (Category 1), upstream and downstream transportation (Categories 4 &amp; 9), use of sold products (Category 11), and end-of-life treatment (Category 12). These categories are estimated to cover well over 95% of the value chain emissions for xeqjoizvhk, aligning with 2026 reporting requirements.</w:t>
      </w:r>
    </w:p>
    <w:bookmarkEnd w:id="34"/>
    <w:bookmarkStart w:id="35" w:name="detailed-breakdown-of-emissions-by-scope"/>
    <w:p>
      <w:pPr>
        <w:pStyle w:val="Heading3"/>
      </w:pPr>
      <w:r>
        <w:t xml:space="preserve">Detailed Breakdown of Emissions by Scope</w:t>
      </w:r>
    </w:p>
    <w:p>
      <w:pPr>
        <w:numPr>
          <w:ilvl w:val="0"/>
          <w:numId w:val="1010"/>
        </w:numPr>
        <w:pStyle w:val="Compact"/>
      </w:pPr>
      <w:r>
        <w:rPr>
          <w:bCs/>
          <w:b/>
        </w:rPr>
        <w:t xml:space="preserve">Scope 1 Emissions:</w:t>
      </w:r>
      <w:r>
        <w:t xml:space="preserve"> </w:t>
      </w:r>
      <w:r>
        <w:t xml:space="preserve">0.000 kgCO2e (0.00%) - Negligible for final assembly operations.</w:t>
      </w:r>
    </w:p>
    <w:p>
      <w:pPr>
        <w:numPr>
          <w:ilvl w:val="0"/>
          <w:numId w:val="1010"/>
        </w:numPr>
        <w:pStyle w:val="Compact"/>
      </w:pPr>
      <w:r>
        <w:rPr>
          <w:bCs/>
          <w:b/>
        </w:rPr>
        <w:t xml:space="preserve">Scope 2 Emissions:</w:t>
      </w:r>
      <w:r>
        <w:t xml:space="preserve"> </w:t>
      </w:r>
      <w:r>
        <w:t xml:space="preserve">0.019 kgCO2e (0.11%) - Primarily from purchased electricity for production in China.</w:t>
      </w:r>
    </w:p>
    <w:p>
      <w:pPr>
        <w:numPr>
          <w:ilvl w:val="0"/>
          <w:numId w:val="1010"/>
        </w:numPr>
        <w:pStyle w:val="Compact"/>
      </w:pPr>
      <w:r>
        <w:rPr>
          <w:bCs/>
          <w:b/>
        </w:rPr>
        <w:t xml:space="preserve">Scope 3 Emissions:</w:t>
      </w:r>
      <w:r>
        <w:t xml:space="preserve"> </w:t>
      </w:r>
      <w:r>
        <w:t xml:space="preserve">17.595 kgCO2e (99.89%)</w:t>
      </w:r>
    </w:p>
    <w:p>
      <w:pPr>
        <w:numPr>
          <w:ilvl w:val="1"/>
          <w:numId w:val="1011"/>
        </w:numPr>
        <w:pStyle w:val="Compact"/>
      </w:pPr>
      <w:r>
        <w:t xml:space="preserve">Upstream Materials (Cat 1): 9.285 kgCO2e</w:t>
      </w:r>
    </w:p>
    <w:p>
      <w:pPr>
        <w:numPr>
          <w:ilvl w:val="1"/>
          <w:numId w:val="1011"/>
        </w:numPr>
        <w:pStyle w:val="Compact"/>
      </w:pPr>
      <w:r>
        <w:t xml:space="preserve">Upstream Transport (Cat 4): 0.500 kgCO2e</w:t>
      </w:r>
    </w:p>
    <w:p>
      <w:pPr>
        <w:numPr>
          <w:ilvl w:val="1"/>
          <w:numId w:val="1011"/>
        </w:numPr>
        <w:pStyle w:val="Compact"/>
      </w:pPr>
      <w:r>
        <w:t xml:space="preserve">Downstream Transport (Cat 9): 0.510 kgCO2e</w:t>
      </w:r>
    </w:p>
    <w:p>
      <w:pPr>
        <w:numPr>
          <w:ilvl w:val="1"/>
          <w:numId w:val="1011"/>
        </w:numPr>
        <w:pStyle w:val="Compact"/>
      </w:pPr>
      <w:r>
        <w:t xml:space="preserve">Use Phase (Cat 11): 7.500 kgCO2e</w:t>
      </w:r>
    </w:p>
    <w:p>
      <w:pPr>
        <w:numPr>
          <w:ilvl w:val="1"/>
          <w:numId w:val="1011"/>
        </w:numPr>
        <w:pStyle w:val="Compact"/>
      </w:pPr>
      <w:r>
        <w:t xml:space="preserve">End-of-Life (Cat 12): -0.200 kgCO2e (Net impact after recycling credits)</w:t>
      </w:r>
    </w:p>
    <w:p>
      <w:pPr>
        <w:pStyle w:val="FirstParagraph"/>
      </w:pPr>
      <w:r>
        <w:rPr>
          <w:bCs/>
          <w:b/>
        </w:rPr>
        <w:t xml:space="preserve">Hotspots:</w:t>
      </w:r>
      <w:r>
        <w:t xml:space="preserve"> </w:t>
      </w:r>
      <w:r>
        <w:t xml:space="preserve">The primary emission hotspots for xeqjoizvhk are identified in the Use Phase (Category 11) and the Upstream Materials (Category 1), particularly the Aluminum Casing and Electronic Board. Downstream transportation also contributes significantly.</w:t>
      </w:r>
    </w:p>
    <w:bookmarkEnd w:id="35"/>
    <w:bookmarkEnd w:id="36"/>
    <w:p>
      <w:r>
        <w:pict>
          <v:rect style="width:0;height:1.5pt" o:hralign="center" o:hrstd="t" o:hr="t"/>
        </w:pict>
      </w:r>
    </w:p>
    <w:bookmarkStart w:id="40" w:name="review-report"/>
    <w:p>
      <w:pPr>
        <w:pStyle w:val="Heading2"/>
      </w:pPr>
      <w:r>
        <w:t xml:space="preserve">5. Review &amp; Report</w:t>
      </w:r>
    </w:p>
    <w:bookmarkStart w:id="37" w:name="emission-hotspots-and-opportunities"/>
    <w:p>
      <w:pPr>
        <w:pStyle w:val="Heading3"/>
      </w:pPr>
      <w:r>
        <w:t xml:space="preserve">5.1. Emission Hotspots and Opportunities</w:t>
      </w:r>
    </w:p>
    <w:p>
      <w:pPr>
        <w:pStyle w:val="FirstParagraph"/>
      </w:pPr>
      <w:r>
        <w:t xml:space="preserve">The analysis clearly indicates that the majority of the product\'s carbon footprint stems from:</w:t>
      </w:r>
    </w:p>
    <w:p>
      <w:pPr>
        <w:numPr>
          <w:ilvl w:val="0"/>
          <w:numId w:val="1012"/>
        </w:numPr>
        <w:pStyle w:val="Compact"/>
      </w:pPr>
      <w:r>
        <w:rPr>
          <w:bCs/>
          <w:b/>
        </w:rPr>
        <w:t xml:space="preserve">Use Phase (42.58%):</w:t>
      </w:r>
      <w:r>
        <w:t xml:space="preserve"> </w:t>
      </w:r>
      <w:r>
        <w:t xml:space="preserve">The energy consumption during the 5-year product lifespan in Europe is the single largest contributor. Opportunities here include improving energy efficiency of the product, encouraging the use of renewable energy by end-users, or extending product lifespan to amortize initial production emissions over a longer period.</w:t>
      </w:r>
    </w:p>
    <w:p>
      <w:pPr>
        <w:numPr>
          <w:ilvl w:val="0"/>
          <w:numId w:val="1012"/>
        </w:numPr>
        <w:pStyle w:val="Compact"/>
      </w:pPr>
      <w:r>
        <w:rPr>
          <w:bCs/>
          <w:b/>
        </w:rPr>
        <w:t xml:space="preserve">Purchased Goods &amp; Services - Materials (52.71%):</w:t>
      </w:r>
      <w:r>
        <w:t xml:space="preserve"> </w:t>
      </w:r>
      <w:r>
        <w:t xml:space="preserve">The raw materials, particularly aluminum and electronic components, represent a substantial portion of the upstream emissions. Strategies for reduction include:</w:t>
      </w:r>
    </w:p>
    <w:p>
      <w:pPr>
        <w:numPr>
          <w:ilvl w:val="1"/>
          <w:numId w:val="1013"/>
        </w:numPr>
        <w:pStyle w:val="Compact"/>
      </w:pPr>
      <w:r>
        <w:t xml:space="preserve">Sourcing lower-carbon aluminum (e.g., from secondary/recycled aluminum or green aluminum production)</w:t>
      </w:r>
      <w:r>
        <w:t xml:space="preserve"> </w:t>
      </w:r>
      <w:r>
        <w:t xml:space="preserve">.</w:t>
      </w:r>
    </w:p>
    <w:p>
      <w:pPr>
        <w:numPr>
          <w:ilvl w:val="1"/>
          <w:numId w:val="1013"/>
        </w:numPr>
        <w:pStyle w:val="Compact"/>
      </w:pPr>
      <w:r>
        <w:t xml:space="preserve">Engaging with suppliers of electronic components to understand and reduce their manufacturing footprint.</w:t>
      </w:r>
    </w:p>
    <w:p>
      <w:pPr>
        <w:numPr>
          <w:ilvl w:val="1"/>
          <w:numId w:val="1013"/>
        </w:numPr>
        <w:pStyle w:val="Compact"/>
      </w:pPr>
      <w:r>
        <w:t xml:space="preserve">Exploring alternative, lower-impact materials.</w:t>
      </w:r>
    </w:p>
    <w:p>
      <w:pPr>
        <w:numPr>
          <w:ilvl w:val="0"/>
          <w:numId w:val="1012"/>
        </w:numPr>
        <w:pStyle w:val="Compact"/>
      </w:pPr>
      <w:r>
        <w:rPr>
          <w:bCs/>
          <w:b/>
        </w:rPr>
        <w:t xml:space="preserve">Transportation (Upstream &amp; Downstream - 5.73%):</w:t>
      </w:r>
      <w:r>
        <w:t xml:space="preserve"> </w:t>
      </w:r>
      <w:r>
        <w:t xml:space="preserve">The long-distance freight from China to Europe, both for materials and finished products, contributes noticeably. Optimizations could include:</w:t>
      </w:r>
    </w:p>
    <w:p>
      <w:pPr>
        <w:numPr>
          <w:ilvl w:val="1"/>
          <w:numId w:val="1014"/>
        </w:numPr>
        <w:pStyle w:val="Compact"/>
      </w:pPr>
      <w:r>
        <w:t xml:space="preserve">Shifting to lower-emission transport modes (e.g., rail or sea freight where feasible).</w:t>
      </w:r>
    </w:p>
    <w:p>
      <w:pPr>
        <w:numPr>
          <w:ilvl w:val="1"/>
          <w:numId w:val="1014"/>
        </w:numPr>
        <w:pStyle w:val="Compact"/>
      </w:pPr>
      <w:r>
        <w:t xml:space="preserve">Optimizing logistics routes and loading efficiency.</w:t>
      </w:r>
    </w:p>
    <w:p>
      <w:pPr>
        <w:numPr>
          <w:ilvl w:val="1"/>
          <w:numId w:val="1014"/>
        </w:numPr>
        <w:pStyle w:val="Compact"/>
      </w:pPr>
      <w:r>
        <w:t xml:space="preserve">Localizing parts of the supply chain if viable.</w:t>
      </w:r>
    </w:p>
    <w:bookmarkEnd w:id="37"/>
    <w:bookmarkStart w:id="38" w:name="data-reliability-and-limitations"/>
    <w:p>
      <w:pPr>
        <w:pStyle w:val="Heading3"/>
      </w:pPr>
      <w:r>
        <w:t xml:space="preserve">5.2. Data Reliability and Limitations</w:t>
      </w:r>
    </w:p>
    <w:p>
      <w:pPr>
        <w:pStyle w:val="FirstParagraph"/>
      </w:pPr>
      <w:r>
        <w:t xml:space="preserve">The reliability of this PCF is good for the parameters provided, but relies on several illustrative and industry-average emission factors due to the placeholder nature of some input parameters. Future iterations should focus on collecting primary data from specific suppliers for higher accuracy, especially for material-specific emission factors and actual transport distances and modes. The Land Sector and Removals (LSR) Standard, while acknowledged, requires further detailed implementation guidance in 2026 for comprehensive reporting in 2027.</w:t>
      </w:r>
    </w:p>
    <w:bookmarkEnd w:id="38"/>
    <w:bookmarkStart w:id="39" w:name="recommendations-for-qohgzeiljo"/>
    <w:p>
      <w:pPr>
        <w:pStyle w:val="Heading3"/>
      </w:pPr>
      <w:r>
        <w:t xml:space="preserve">5.3. Recommendations for qohgzeiljo</w:t>
      </w:r>
    </w:p>
    <w:p>
      <w:pPr>
        <w:numPr>
          <w:ilvl w:val="0"/>
          <w:numId w:val="1015"/>
        </w:numPr>
        <w:pStyle w:val="Compact"/>
      </w:pPr>
      <w:r>
        <w:rPr>
          <w:bCs/>
          <w:b/>
        </w:rPr>
        <w:t xml:space="preserve">Supplier Engagement:</w:t>
      </w:r>
      <w:r>
        <w:t xml:space="preserve"> </w:t>
      </w:r>
      <w:r>
        <w:t xml:space="preserve">Collaborate with material suppliers to obtain primary, cradle-to-gate emission data for key components and explore options for low-carbon materials.</w:t>
      </w:r>
    </w:p>
    <w:p>
      <w:pPr>
        <w:numPr>
          <w:ilvl w:val="0"/>
          <w:numId w:val="1015"/>
        </w:numPr>
        <w:pStyle w:val="Compact"/>
      </w:pPr>
      <w:r>
        <w:rPr>
          <w:bCs/>
          <w:b/>
        </w:rPr>
        <w:t xml:space="preserve">Product Redesign for Energy Efficiency:</w:t>
      </w:r>
      <w:r>
        <w:t xml:space="preserve"> </w:t>
      </w:r>
      <w:r>
        <w:t xml:space="preserve">Invest in R&amp;D to significantly reduce the energy consumption of xeqjoizvhk during its use phase.</w:t>
      </w:r>
    </w:p>
    <w:p>
      <w:pPr>
        <w:numPr>
          <w:ilvl w:val="0"/>
          <w:numId w:val="1015"/>
        </w:numPr>
        <w:pStyle w:val="Compact"/>
      </w:pPr>
      <w:r>
        <w:rPr>
          <w:bCs/>
          <w:b/>
        </w:rPr>
        <w:t xml:space="preserve">Logistics Optimization:</w:t>
      </w:r>
      <w:r>
        <w:t xml:space="preserve"> </w:t>
      </w:r>
      <w:r>
        <w:t xml:space="preserve">Conduct a detailed logistics analysis to identify specific routes and modes with lower carbon intensities for both inbound and outbound shipments.</w:t>
      </w:r>
    </w:p>
    <w:p>
      <w:pPr>
        <w:numPr>
          <w:ilvl w:val="0"/>
          <w:numId w:val="1015"/>
        </w:numPr>
        <w:pStyle w:val="Compact"/>
      </w:pPr>
      <w:r>
        <w:rPr>
          <w:bCs/>
          <w:b/>
        </w:rPr>
        <w:t xml:space="preserve">Enhance Circularity:</w:t>
      </w:r>
      <w:r>
        <w:t xml:space="preserve"> </w:t>
      </w:r>
      <w:r>
        <w:t xml:space="preserve">Leverage the existing robust take-back program (gjfuudiwrq) to maximize the recovery and high-quality recycling of materials, actively seeking market solutions for recycled content in new products.</w:t>
      </w:r>
    </w:p>
    <w:p>
      <w:pPr>
        <w:numPr>
          <w:ilvl w:val="0"/>
          <w:numId w:val="1015"/>
        </w:numPr>
        <w:pStyle w:val="Compact"/>
      </w:pPr>
      <w:r>
        <w:rPr>
          <w:bCs/>
          <w:b/>
        </w:rPr>
        <w:t xml:space="preserve">Renewable Energy Adoption:</w:t>
      </w:r>
      <w:r>
        <w:t xml:space="preserve"> </w:t>
      </w:r>
      <w:r>
        <w:t xml:space="preserve">Continue to increase renewable energy procurement at manufacturing facilities beyond the current 75% (ntymkhspyk) to further reduce Scope 2 emissions.</w:t>
      </w:r>
    </w:p>
    <w:p>
      <w:pPr>
        <w:numPr>
          <w:ilvl w:val="0"/>
          <w:numId w:val="1015"/>
        </w:numPr>
        <w:pStyle w:val="Compact"/>
      </w:pPr>
      <w:r>
        <w:rPr>
          <w:bCs/>
          <w:b/>
        </w:rPr>
        <w:t xml:space="preserve">LSR Standard Preparation:</w:t>
      </w:r>
      <w:r>
        <w:t xml:space="preserve"> </w:t>
      </w:r>
      <w:r>
        <w:t xml:space="preserve">Begin assessing potential land use impacts within your value chain in 2026 to prepare for the full implementation of the GHG Protocol LSR Standard in 2027.</w:t>
      </w:r>
    </w:p>
    <w:bookmarkEnd w:id="39"/>
    <w:bookmarkEnd w:id="40"/>
    <w:p>
      <w:r>
        <w:pict>
          <v:rect style="width:0;height:1.5pt" o:hralign="center" o:hrstd="t" o:hr="t"/>
        </w:pict>
      </w:r>
    </w:p>
    <w:p>
      <w:pPr>
        <w:pStyle w:val="FirstParagraph"/>
      </w:pPr>
      <w:r>
        <w:t xml:space="preserve">Confidential - Internal Use Only</w:t>
      </w:r>
    </w:p>
    <w:p>
      <w:pPr>
        <w:pStyle w:val="BodyText"/>
      </w:pPr>
      <w:r>
        <w:t xml:space="preserve">Page</w:t>
      </w:r>
      <w:r>
        <w:t xml:space="preserve"> </w:t>
      </w:r>
      <w:bookmarkStart w:id="41" w:name="pageNumber"/>
      <w:r>
        <w:t xml:space="preserve">1</w:t>
      </w:r>
      <w:bookmarkEnd w:id="41"/>
      <w:r>
        <w:t xml:space="preserve"> </w:t>
      </w:r>
      <w:r>
        <w:t xml:space="preserve">of</w:t>
      </w:r>
      <w:r>
        <w:t xml:space="preserve"> </w:t>
      </w:r>
      <w:bookmarkStart w:id="42" w:name="totalPages"/>
      <w:r>
        <w:t xml:space="preserve">1</w:t>
      </w:r>
      <w:bookmarkEnd w:id="42"/>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xeqjoizvhk</dc:title>
  <dc:creator/>
  <dc:description>Detailed Product Carbon Footprint (PCF) analysis for xeqjoizvhk by Senior Sustainability Consultant liwfuwturh for qohgzeiljo, adhering to GHG Protocol standards and 2026 LSR updates.</dc:description>
  <dc:language>en</dc:language>
  <cp:keywords/>
  <dcterms:created xsi:type="dcterms:W3CDTF">2026-07-15T07:07:07Z</dcterms:created>
  <dcterms:modified xsi:type="dcterms:W3CDTF">2026-07-15T07:07:07Z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