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xeqjoizvhk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xeqjoizvhk</w:t>
      </w:r>
    </w:p>
    <w:p>
      <w:pPr>
        <w:pStyle w:val="BodyText"/>
      </w:pPr>
      <w:r>
        <w:rPr>
          <w:bCs/>
          <w:b/>
        </w:rPr>
        <w:t xml:space="preserve">Company Name:</w:t>
      </w:r>
      <w:r>
        <w:t xml:space="preserve"> </w:t>
      </w:r>
      <w:r>
        <w:t xml:space="preserve">qohgzeiljo</w:t>
      </w:r>
    </w:p>
    <w:p>
      <w:pPr>
        <w:pStyle w:val="BodyText"/>
      </w:pPr>
      <w:r>
        <w:rPr>
          <w:bCs/>
          <w:b/>
        </w:rPr>
        <w:t xml:space="preserve">Senior Sustainability Consultant:</w:t>
      </w:r>
      <w:r>
        <w:t xml:space="preserve"> </w:t>
      </w:r>
      <w:r>
        <w:t xml:space="preserve">liwfuwturh</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calculations presented herein are illustrative and rely on assumed values for certain parameters where specific primary data was not provided. Actual emissions may vary.</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xeqjoizvhk</w:t>
      </w:r>
    </w:p>
    <w:p>
      <w:pPr>
        <w:pStyle w:val="BodyText"/>
      </w:pPr>
      <w:r>
        <w:rPr>
          <w:bCs/>
          <w:b/>
        </w:rPr>
        <w:t xml:space="preserve">Company:</w:t>
      </w:r>
      <w:r>
        <w:t xml:space="preserve"> </w:t>
      </w:r>
      <w:r>
        <w:t xml:space="preserve">qohgzeiljo</w:t>
      </w:r>
    </w:p>
    <w:p>
      <w:pPr>
        <w:pStyle w:val="BodyText"/>
      </w:pPr>
      <w:r>
        <w:rPr>
          <w:bCs/>
          <w:b/>
        </w:rPr>
        <w:t xml:space="preserve">Senior Sustainability Consultant:</w:t>
      </w:r>
      <w:r>
        <w:t xml:space="preserve"> </w:t>
      </w:r>
      <w:r>
        <w:t xml:space="preserve">liwfuwturh</w:t>
      </w:r>
    </w:p>
    <w:p>
      <w:pPr>
        <w:pStyle w:val="BodyText"/>
      </w:pPr>
      <w:r>
        <w:rPr>
          <w:bCs/>
          <w:b/>
        </w:rPr>
        <w:t xml:space="preserve">Generated Date:</w:t>
      </w:r>
      <w:r>
        <w:t xml:space="preserve"> </w:t>
      </w:r>
      <w:r>
        <w:t xml:space="preserve">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xeqjoizvhk, developed for qohgzeiljo by Senior Sustainability Consultant liwfuwturh. The analysis rigorously adheres to the Greenhouse Gas (GHG) Protocol standards, including a forward-looking consideration of the 2026 Land Sector and Removals (LSR) Standard update. The primary objective is to quantify the total greenhouse gas emissions (in CO2e) across the product\'s lifecycle, from raw material extraction to end-of-life treatment (cradle-to-grave perspective, based on a factory-gate system boundary for direct operations and extending to downstream impacts for value chain). The assessment identifies key emission hotspots and provides a foundational understanding for qohgzeiljo to implement targeted decarbonization strategies and enhance the product\'s environmental performance.</w:t>
      </w:r>
    </w:p>
    <w:bookmarkEnd w:id="22"/>
    <w:p>
      <w:r>
        <w:pict>
          <v:rect style="width:0;height:1.5pt" o:hralign="center" o:hrstd="t" o:hr="t"/>
        </w:pict>
      </w:r>
    </w:p>
    <w:bookmarkStart w:id="23" w:name="scope-definition"/>
    <w:p>
      <w:pPr>
        <w:pStyle w:val="Heading2"/>
      </w:pPr>
      <w:r>
        <w:t xml:space="preserve">1. Scope Definition</w:t>
      </w:r>
    </w:p>
    <w:p>
      <w:pPr>
        <w:pStyle w:val="FirstParagraph"/>
      </w:pPr>
      <w:r>
        <w:t xml:space="preserve">The first step in a Product Carbon Footprint analysis is to clearly define the scope of the assessment, ensuring consistency and comparability of results.</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xeqjoizvhk</w:t>
      </w:r>
      <w:r>
        <w:t xml:space="preserve">.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perspective for direct operational control, extending to a comprehensive "cradle-to-grave" approach for the entire product lifecycle to capture all relevant Scope 3 emissions. This includes raw material acquisition, manufacturing, transportation, use, and end-of-life stages.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key material sourcing and downstream markets)</w:t>
      </w:r>
    </w:p>
    <w:p>
      <w:pPr>
        <w:numPr>
          <w:ilvl w:val="0"/>
          <w:numId w:val="1001"/>
        </w:numPr>
        <w:pStyle w:val="Compact"/>
      </w:pPr>
      <w:r>
        <w:rPr>
          <w:bCs/>
          <w:b/>
        </w:rPr>
        <w:t xml:space="preserve">Accounting Standard:</w:t>
      </w:r>
      <w:r>
        <w:t xml:space="preserve"> </w:t>
      </w:r>
      <w:r>
        <w:t xml:space="preserve">The assessment is conducted in full compliance with the</w:t>
      </w:r>
      <w:r>
        <w:t xml:space="preserve"> </w:t>
      </w:r>
      <w:r>
        <w:rPr>
          <w:bCs/>
          <w:b/>
        </w:rPr>
        <w:t xml:space="preserve">GHG Protocol</w:t>
      </w:r>
      <w:r>
        <w:t xml:space="preserve">, specifically referencing the Product Standard and the Corporate Value Chain (Scope 3) Standard. Emissions are categorized into Scope 1 (direct emissions from owned or controlled sources), Scope 2 (indirect emissions from the generation of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 processes occur, allocation of environmental impacts is performed based on scientifically justifiable methods, typically mass-based or economic allocation, to ensure impacts are fairly distributed to the functional unit. For this analysis, a mass-based allocation is primarily applied to upstream materials.</w:t>
      </w:r>
    </w:p>
    <w:p>
      <w:pPr>
        <w:pStyle w:val="FirstParagraph"/>
      </w:pPr>
      <w:r>
        <w:rPr>
          <w:bCs/>
          <w:b/>
        </w:rPr>
        <w:t xml:space="preserve">2026 LSR Update Considerations:</w:t>
      </w:r>
      <w:r>
        <w:t xml:space="preserve"> </w:t>
      </w:r>
      <w:r>
        <w:t xml:space="preserve">The GHG Protocol\'s Land Sector and Removals (LSR) Standard was released in January 2026 and takes effect on January 1, 2027. While its full implementation and accompanying guidance are developing throughout 2026, this report acknowledges its importance for comprehensive land-based emissions and removals accounting. For the generic product xeqjoizvhk, specific land-use changes or removals directly attributable at this detailed level are not explicitly modeled due to the product\'s nature and data availability but would be integrated for products with significant agricultural or forestry components.</w:t>
      </w:r>
    </w:p>
    <w:bookmarkEnd w:id="23"/>
    <w:p>
      <w:r>
        <w:pict>
          <v:rect style="width:0;height:1.5pt" o:hralign="center" o:hrstd="t" o:hr="t"/>
        </w:pict>
      </w:r>
    </w:p>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data points collected or assumed for the analysis of xeqjoizvhk. The analysis covers upstream (materials, transport), core (production), and downstream (transport, use, end-of-life) phases.</w:t>
      </w:r>
    </w:p>
    <w:bookmarkStart w:id="26" w:name="Xada79e55b58d6c5a590db28a14376f901d9d610"/>
    <w:p>
      <w:pPr>
        <w:pStyle w:val="Heading3"/>
      </w:pPr>
      <w:r>
        <w:t xml:space="preserve">2.1. Upstream Phase (Scope 3 - Categories 1, 3, 4)</w:t>
      </w:r>
    </w:p>
    <w:bookmarkStart w:id="24" w:name="X589f82557a4b2055583dec38d40dae11c1cae81"/>
    <w:p>
      <w:pPr>
        <w:pStyle w:val="Heading4"/>
      </w:pPr>
      <w:r>
        <w:t xml:space="preserve">Detailed Bill of Materials (BOM) for xeqjoizvhk</w:t>
      </w:r>
    </w:p>
    <w:p>
      <w:pPr>
        <w:pStyle w:val="FirstParagraph"/>
      </w:pPr>
      <w:r>
        <w:t xml:space="preserve">The following Bill of Materials (BOM) is used for high-accuracy material impact calculation. The Emission Factor and Total Carbon values are specific to this analysis, with Total Carbon being calculated based on Quantity and Emission Factor. These values are illustrative where specific vendor data was not available.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14.77</w:t>
            </w:r>
            <w:r>
              <w:t xml:space="preserve"> </w:t>
            </w:r>
          </w:p>
        </w:tc>
        <w:tc>
          <w:tcPr/>
          <w:p>
            <w:pPr>
              <w:pStyle w:val="Compact"/>
              <w:jc w:val="left"/>
            </w:pPr>
            <w:r>
              <w:t xml:space="preserve">7.385</w:t>
            </w:r>
          </w:p>
        </w:tc>
      </w:tr>
      <w:tr>
        <w:tc>
          <w:tcPr/>
          <w:p>
            <w:pPr>
              <w:pStyle w:val="Compact"/>
              <w:jc w:val="left"/>
            </w:pPr>
            <w:r>
              <w:t xml:space="preserve">M2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 (Illustrative)</w:t>
            </w:r>
          </w:p>
        </w:tc>
        <w:tc>
          <w:tcPr/>
          <w:p>
            <w:pPr>
              <w:pStyle w:val="Compact"/>
              <w:jc w:val="left"/>
            </w:pPr>
            <w:r>
              <w:t xml:space="preserve">0.750</w:t>
            </w:r>
          </w:p>
        </w:tc>
      </w:tr>
      <w:tr>
        <w:tc>
          <w:tcPr/>
          <w:p>
            <w:pPr>
              <w:pStyle w:val="Compact"/>
              <w:jc w:val="left"/>
            </w:pPr>
            <w:r>
              <w:t xml:space="preserve">M3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10.00 (Illustrative)</w:t>
            </w:r>
          </w:p>
        </w:tc>
        <w:tc>
          <w:tcPr/>
          <w:p>
            <w:pPr>
              <w:pStyle w:val="Compact"/>
              <w:jc w:val="left"/>
            </w:pPr>
            <w:r>
              <w:t xml:space="preserve">1.000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 (Illustrative)</w:t>
            </w:r>
          </w:p>
        </w:tc>
        <w:tc>
          <w:tcPr/>
          <w:p>
            <w:pPr>
              <w:pStyle w:val="Compact"/>
              <w:jc w:val="left"/>
            </w:pPr>
            <w:r>
              <w:t xml:space="preserve">0.150</w:t>
            </w:r>
          </w:p>
        </w:tc>
      </w:tr>
      <w:tr>
        <w:tc>
          <w:tcPr>
            <w:gridSpan w:val="7"/>
          </w:tcPr>
          <w:p>
            <w:pPr>
              <w:pStyle w:val="Compact"/>
              <w:jc w:val="right"/>
            </w:pPr>
            <w:r>
              <w:rPr>
                <w:bCs/>
                <w:b/>
              </w:rPr>
              <w:t xml:space="preserve">Total Material Carbon Impact:</w:t>
            </w:r>
          </w:p>
        </w:tc>
        <w:tc>
          <w:tcPr/>
          <w:p>
            <w:pPr>
              <w:pStyle w:val="Compact"/>
              <w:jc w:val="left"/>
            </w:pPr>
            <w:r>
              <w:rPr>
                <w:bCs/>
                <w:b/>
              </w:rPr>
              <w:t xml:space="preserve">9.285</w:t>
            </w:r>
          </w:p>
        </w:tc>
      </w:tr>
      <w:tr>
        <w:tc>
          <w:tcPr>
            <w:gridSpan w:val="7"/>
          </w:tcPr>
          <w:p>
            <w:pPr>
              <w:pStyle w:val="Compact"/>
              <w:jc w:val="right"/>
            </w:pPr>
            <w:r>
              <w:rPr>
                <w:bCs/>
                <w:b/>
              </w:rPr>
              <w:t xml:space="preserve">Total Product Weight:</w:t>
            </w:r>
          </w:p>
        </w:tc>
        <w:tc>
          <w:tcPr/>
          <w:p>
            <w:pPr>
              <w:pStyle w:val="Compact"/>
              <w:jc w:val="left"/>
            </w:pPr>
            <w:r>
              <w:rPr>
                <w:bCs/>
                <w:b/>
              </w:rPr>
              <w:t xml:space="preserve">1.00 kg</w:t>
            </w:r>
          </w:p>
        </w:tc>
      </w:tr>
    </w:tbl>
    <w:p>
      <w:pPr>
        <w:pStyle w:val="BodyText"/>
      </w:pPr>
      <w:r>
        <w:rPr>
          <w:iCs/>
          <w:i/>
        </w:rPr>
        <w:t xml:space="preserve">Note: The "Emission Factor" for raw materials represents the \'cradle-to-gate\' emissions of the material itself.</w:t>
      </w:r>
    </w:p>
    <w:bookmarkEnd w:id="24"/>
    <w:bookmarkStart w:id="25" w:name="Xe2a129befaa5400044119aea04c7ccf889e3cfc"/>
    <w:p>
      <w:pPr>
        <w:pStyle w:val="Heading4"/>
      </w:pPr>
      <w:r>
        <w:t xml:space="preserve">Upstream Transportation (Scope 3 - Category 4)</w:t>
      </w:r>
    </w:p>
    <w:p>
      <w:pPr>
        <w:pStyle w:val="FirstParagraph"/>
      </w:pPr>
      <w:r>
        <w:t xml:space="preserve">Transportation of raw materials and components from suppliers (Europe Focused Supply Chain) to the final production country (China).</w:t>
      </w:r>
    </w:p>
    <w:p>
      <w:pPr>
        <w:numPr>
          <w:ilvl w:val="0"/>
          <w:numId w:val="1003"/>
        </w:numPr>
        <w:pStyle w:val="Compact"/>
      </w:pPr>
      <w:r>
        <w:rPr>
          <w:bCs/>
          <w:b/>
        </w:rPr>
        <w:t xml:space="preserve">Transport Mode:</w:t>
      </w:r>
      <w:r>
        <w:t xml:space="preserve"> </w:t>
      </w:r>
      <w:r>
        <w:t xml:space="preserve">Road Freight (Heavy Goods Vehicle)</w:t>
      </w:r>
    </w:p>
    <w:p>
      <w:pPr>
        <w:numPr>
          <w:ilvl w:val="0"/>
          <w:numId w:val="1003"/>
        </w:numPr>
        <w:pStyle w:val="Compact"/>
      </w:pPr>
      <w:r>
        <w:rPr>
          <w:bCs/>
          <w:b/>
        </w:rPr>
        <w:t xml:space="preserve">Transport Distance:</w:t>
      </w:r>
      <w:r>
        <w:t xml:space="preserve"> </w:t>
      </w:r>
      <w:r>
        <w:t xml:space="preserve">5000 km (Illustrative average for key components from Europe to China production facility)</w:t>
      </w:r>
    </w:p>
    <w:p>
      <w:pPr>
        <w:numPr>
          <w:ilvl w:val="0"/>
          <w:numId w:val="1003"/>
        </w:numPr>
        <w:pStyle w:val="Compact"/>
      </w:pPr>
      <w:r>
        <w:rPr>
          <w:bCs/>
          <w:b/>
        </w:rPr>
        <w:t xml:space="preserve">Illustrative Emission Factor for Road Freight:</w:t>
      </w:r>
      <w:r>
        <w:t xml:space="preserve"> </w:t>
      </w:r>
      <w:r>
        <w:t xml:space="preserve">0.1 kg CO2e/tonne-km</w:t>
      </w:r>
      <w:r>
        <w:t xml:space="preserve"> </w:t>
      </w:r>
    </w:p>
    <w:bookmarkEnd w:id="25"/>
    <w:bookmarkEnd w:id="26"/>
    <w:bookmarkStart w:id="28" w:name="core-phase-production-scope-1-2"/>
    <w:p>
      <w:pPr>
        <w:pStyle w:val="Heading3"/>
      </w:pPr>
      <w:r>
        <w:t xml:space="preserve">2.2. Core Phase: Production (Scope 1 &amp; 2)</w:t>
      </w:r>
    </w:p>
    <w:p>
      <w:pPr>
        <w:pStyle w:val="FirstParagraph"/>
      </w:pPr>
      <w:r>
        <w:t xml:space="preserve">This phase covers the manufacturing of xeqjoizvhk in China.</w:t>
      </w:r>
    </w:p>
    <w:bookmarkStart w:id="27" w:name="energy-inputs"/>
    <w:p>
      <w:pPr>
        <w:pStyle w:val="Heading4"/>
      </w:pPr>
      <w:r>
        <w:t xml:space="preserve">Energy Inputs</w:t>
      </w:r>
    </w:p>
    <w:p>
      <w:pPr>
        <w:numPr>
          <w:ilvl w:val="0"/>
          <w:numId w:val="1004"/>
        </w:numPr>
        <w:pStyle w:val="Compact"/>
      </w:pPr>
      <w:r>
        <w:rPr>
          <w:bCs/>
          <w:b/>
        </w:rPr>
        <w:t xml:space="preserve">Energy Intensity (kWh/unit):</w:t>
      </w:r>
      <w:r>
        <w:t xml:space="preserve"> </w:t>
      </w:r>
      <w:r>
        <w:t xml:space="preserve">uuohmfkexl = 0.15 kWh/unit</w:t>
      </w:r>
    </w:p>
    <w:p>
      <w:pPr>
        <w:numPr>
          <w:ilvl w:val="0"/>
          <w:numId w:val="1004"/>
        </w:numPr>
        <w:pStyle w:val="Compact"/>
      </w:pPr>
      <w:r>
        <w:rPr>
          <w:bCs/>
          <w:b/>
        </w:rPr>
        <w:t xml:space="preserve">Renewable Energy Usage:</w:t>
      </w:r>
      <w:r>
        <w:t xml:space="preserve"> </w:t>
      </w:r>
      <w:r>
        <w:t xml:space="preserve">ntymkhspyk = 75% (Directly sourced renewable energy)</w:t>
      </w:r>
    </w:p>
    <w:p>
      <w:pPr>
        <w:numPr>
          <w:ilvl w:val="0"/>
          <w:numId w:val="1004"/>
        </w:numPr>
        <w:pStyle w:val="Compact"/>
      </w:pPr>
      <w:r>
        <w:rPr>
          <w:bCs/>
          <w:b/>
        </w:rPr>
        <w:t xml:space="preserve">Grid Electricity Usage:</w:t>
      </w:r>
      <w:r>
        <w:t xml:space="preserve"> </w:t>
      </w:r>
      <w:r>
        <w:t xml:space="preserve">(100% - 75%) = 25% of energy intensity sourced from the grid.</w:t>
      </w:r>
    </w:p>
    <w:p>
      <w:pPr>
        <w:numPr>
          <w:ilvl w:val="0"/>
          <w:numId w:val="1004"/>
        </w:numPr>
        <w:pStyle w:val="Compact"/>
      </w:pPr>
      <w:r>
        <w:rPr>
          <w:bCs/>
          <w:b/>
        </w:rPr>
        <w:t xml:space="preserve">Illustrative China Grid Electricity Emission Factor (2026):</w:t>
      </w:r>
      <w:r>
        <w:t xml:space="preserve"> </w:t>
      </w:r>
      <w:r>
        <w:t xml:space="preserve">0.5 kg CO2e/kWh (Based on projected values for China\'s grid mix in 2026)</w:t>
      </w:r>
      <w:r>
        <w:t xml:space="preserve"> </w:t>
      </w:r>
    </w:p>
    <w:p>
      <w:pPr>
        <w:pStyle w:val="FirstParagraph"/>
      </w:pPr>
      <w:r>
        <w:t xml:space="preserve">Direct (Scope 1) emissions from on-site fuel combustion are assumed to be negligible for this product\'s final assembly and are not included in this illustrative breakdown unless specific data was provided. Major Scope 1 emissions would typically reside with raw material suppliers (e.g., primary aluminum production smelters).</w:t>
      </w:r>
    </w:p>
    <w:bookmarkEnd w:id="27"/>
    <w:bookmarkEnd w:id="28"/>
    <w:bookmarkStart w:id="32" w:name="Xbb545a88ea90988d04400e45849474527cb4b1c"/>
    <w:p>
      <w:pPr>
        <w:pStyle w:val="Heading3"/>
      </w:pPr>
      <w:r>
        <w:t xml:space="preserve">2.3. Downstream Phase (Scope 3 - Categories 9, 11, 12)</w:t>
      </w:r>
    </w:p>
    <w:bookmarkStart w:id="29" w:name="Xf7374cff67ec585b1a68b57995025cee79b6077"/>
    <w:p>
      <w:pPr>
        <w:pStyle w:val="Heading4"/>
      </w:pPr>
      <w:r>
        <w:t xml:space="preserve">Downstream Transportation and Distribution (Scope 3 - Category 9)</w:t>
      </w:r>
    </w:p>
    <w:p>
      <w:pPr>
        <w:pStyle w:val="FirstParagraph"/>
      </w:pPr>
      <w:r>
        <w:t xml:space="preserve">Transportation of the finished product from the factory (China) to the market (Europe) and last-mile delivery.</w:t>
      </w:r>
    </w:p>
    <w:p>
      <w:pPr>
        <w:numPr>
          <w:ilvl w:val="0"/>
          <w:numId w:val="1005"/>
        </w:numPr>
        <w:pStyle w:val="Compact"/>
      </w:pPr>
      <w:r>
        <w:rPr>
          <w:bCs/>
          <w:b/>
        </w:rPr>
        <w:t xml:space="preserve">Primary Transport (China to Europe):</w:t>
      </w:r>
    </w:p>
    <w:p>
      <w:pPr>
        <w:numPr>
          <w:ilvl w:val="1"/>
          <w:numId w:val="1006"/>
        </w:numPr>
        <w:pStyle w:val="Compact"/>
      </w:pPr>
      <w:r>
        <w:rPr>
          <w:bCs/>
          <w:b/>
        </w:rPr>
        <w:t xml:space="preserve">Transport Mode:</w:t>
      </w:r>
      <w:r>
        <w:t xml:space="preserve"> </w:t>
      </w:r>
      <w:r>
        <w:t xml:space="preserve">Road Freight (Heavy Goods Vehicle)</w:t>
      </w:r>
    </w:p>
    <w:p>
      <w:pPr>
        <w:numPr>
          <w:ilvl w:val="1"/>
          <w:numId w:val="1006"/>
        </w:numPr>
        <w:pStyle w:val="Compact"/>
      </w:pPr>
      <w:r>
        <w:rPr>
          <w:bCs/>
          <w:b/>
        </w:rPr>
        <w:t xml:space="preserve">Transport Distance:</w:t>
      </w:r>
      <w:r>
        <w:t xml:space="preserve"> </w:t>
      </w:r>
      <w:r>
        <w:t xml:space="preserve">jehuquxfxk = 5000 km (Illustrative average)</w:t>
      </w:r>
    </w:p>
    <w:p>
      <w:pPr>
        <w:numPr>
          <w:ilvl w:val="1"/>
          <w:numId w:val="1006"/>
        </w:numPr>
        <w:pStyle w:val="Compact"/>
      </w:pPr>
      <w:r>
        <w:rPr>
          <w:bCs/>
          <w:b/>
        </w:rPr>
        <w:t xml:space="preserve">Illustrative Emission Factor for Road Freight:</w:t>
      </w:r>
      <w:r>
        <w:t xml:space="preserve"> </w:t>
      </w:r>
      <w:r>
        <w:t xml:space="preserve">0.1 kg CO2e/tonne-km</w:t>
      </w:r>
      <w:r>
        <w:t xml:space="preserve"> </w:t>
      </w:r>
    </w:p>
    <w:p>
      <w:pPr>
        <w:numPr>
          <w:ilvl w:val="0"/>
          <w:numId w:val="1005"/>
        </w:numPr>
        <w:pStyle w:val="Compact"/>
      </w:pPr>
      <w:r>
        <w:rPr>
          <w:bCs/>
          <w:b/>
        </w:rPr>
        <w:t xml:space="preserve">Last-Mile Delivery Channel:</w:t>
      </w:r>
    </w:p>
    <w:p>
      <w:pPr>
        <w:numPr>
          <w:ilvl w:val="1"/>
          <w:numId w:val="1007"/>
        </w:numPr>
        <w:pStyle w:val="Compact"/>
      </w:pPr>
      <w:r>
        <w:rPr>
          <w:bCs/>
          <w:b/>
        </w:rPr>
        <w:t xml:space="preserve">Delivery Type:</w:t>
      </w:r>
      <w:r>
        <w:t xml:space="preserve"> </w:t>
      </w:r>
      <w:r>
        <w:t xml:space="preserve">Parcel Van Delivery</w:t>
      </w:r>
    </w:p>
    <w:p>
      <w:pPr>
        <w:numPr>
          <w:ilvl w:val="1"/>
          <w:numId w:val="1007"/>
        </w:numPr>
        <w:pStyle w:val="Compact"/>
      </w:pPr>
      <w:r>
        <w:rPr>
          <w:bCs/>
          <w:b/>
        </w:rPr>
        <w:t xml:space="preserve">Transport Distance:</w:t>
      </w:r>
      <w:r>
        <w:t xml:space="preserve"> </w:t>
      </w:r>
      <w:r>
        <w:t xml:space="preserve">100 km (Illustrative average for last-mile in Europe)</w:t>
      </w:r>
    </w:p>
    <w:p>
      <w:pPr>
        <w:numPr>
          <w:ilvl w:val="1"/>
          <w:numId w:val="1007"/>
        </w:numPr>
        <w:pStyle w:val="Compact"/>
      </w:pPr>
      <w:r>
        <w:rPr>
          <w:bCs/>
          <w:b/>
        </w:rPr>
        <w:t xml:space="preserve">Illustrative Emission Factor for Parcel Van Delivery:</w:t>
      </w:r>
      <w:r>
        <w:t xml:space="preserve"> </w:t>
      </w:r>
      <w:r>
        <w:t xml:space="preserve">0.1 kg CO2e/tonne-km (Using general road freight EF for simplicity)</w:t>
      </w:r>
    </w:p>
    <w:bookmarkEnd w:id="29"/>
    <w:bookmarkStart w:id="30" w:name="use-phase-scope-3---category-11"/>
    <w:p>
      <w:pPr>
        <w:pStyle w:val="Heading4"/>
      </w:pPr>
      <w:r>
        <w:t xml:space="preserve">Use Phase (Scope 3 - Category 11)</w:t>
      </w:r>
    </w:p>
    <w:p>
      <w:pPr>
        <w:pStyle w:val="FirstParagraph"/>
      </w:pPr>
      <w:r>
        <w:t xml:space="preserve">Emissions generated during the product\'s operational life by the end-user.</w:t>
      </w:r>
    </w:p>
    <w:p>
      <w:pPr>
        <w:numPr>
          <w:ilvl w:val="0"/>
          <w:numId w:val="1008"/>
        </w:numPr>
        <w:pStyle w:val="Compact"/>
      </w:pPr>
      <w:r>
        <w:rPr>
          <w:bCs/>
          <w:b/>
        </w:rPr>
        <w:t xml:space="preserve">Product Lifespan:</w:t>
      </w:r>
      <w:r>
        <w:t xml:space="preserve"> </w:t>
      </w:r>
      <w:r>
        <w:t xml:space="preserve">frfqrpimuj = 5 years</w:t>
      </w:r>
    </w:p>
    <w:p>
      <w:pPr>
        <w:numPr>
          <w:ilvl w:val="0"/>
          <w:numId w:val="1008"/>
        </w:numPr>
        <w:pStyle w:val="Compact"/>
      </w:pPr>
      <w:r>
        <w:rPr>
          <w:bCs/>
          <w:b/>
        </w:rPr>
        <w:t xml:space="preserve">Energy Consumption in Use:</w:t>
      </w:r>
      <w:r>
        <w:t xml:space="preserve"> </w:t>
      </w:r>
      <w:r>
        <w:t xml:space="preserve">uyesnsfskx = 10 kWh/year</w:t>
      </w:r>
    </w:p>
    <w:p>
      <w:pPr>
        <w:numPr>
          <w:ilvl w:val="0"/>
          <w:numId w:val="1008"/>
        </w:numPr>
        <w:pStyle w:val="Compact"/>
      </w:pPr>
      <w:r>
        <w:rPr>
          <w:bCs/>
          <w:b/>
        </w:rPr>
        <w:t xml:space="preserve">Total Energy Consumption over Lifespan:</w:t>
      </w:r>
      <w:r>
        <w:t xml:space="preserve"> </w:t>
      </w:r>
      <w:r>
        <w:t xml:space="preserve">5 years * 10 kWh/year = 50 kWh</w:t>
      </w:r>
    </w:p>
    <w:p>
      <w:pPr>
        <w:numPr>
          <w:ilvl w:val="0"/>
          <w:numId w:val="1008"/>
        </w:numPr>
        <w:pStyle w:val="Compact"/>
      </w:pPr>
      <w:r>
        <w:rPr>
          <w:bCs/>
          <w:b/>
        </w:rPr>
        <w:t xml:space="preserve">Geographic Scope of Use:</w:t>
      </w:r>
      <w:r>
        <w:t xml:space="preserve"> </w:t>
      </w:r>
      <w:r>
        <w:t xml:space="preserve">Europe</w:t>
      </w:r>
    </w:p>
    <w:p>
      <w:pPr>
        <w:numPr>
          <w:ilvl w:val="0"/>
          <w:numId w:val="1008"/>
        </w:numPr>
        <w:pStyle w:val="Compact"/>
      </w:pPr>
      <w:r>
        <w:rPr>
          <w:bCs/>
          <w:b/>
        </w:rPr>
        <w:t xml:space="preserve">Illustrative Europe Grid Electricity Emission Factor (2026):</w:t>
      </w:r>
      <w:r>
        <w:t xml:space="preserve"> </w:t>
      </w:r>
      <w:r>
        <w:t xml:space="preserve">0.15 kg CO2e/kWh (Based on projected values for Europe\'s grid mix in 2026)</w:t>
      </w:r>
      <w:r>
        <w:t xml:space="preserve"> </w:t>
      </w:r>
    </w:p>
    <w:bookmarkEnd w:id="30"/>
    <w:bookmarkStart w:id="31" w:name="X3a665f80ed39d0ecd28f8d1a57827ce097b2377"/>
    <w:p>
      <w:pPr>
        <w:pStyle w:val="Heading4"/>
      </w:pPr>
      <w:r>
        <w:t xml:space="preserve">End-of-Life (EoL) Scenarios (Scope 3 - Category 12)</w:t>
      </w:r>
    </w:p>
    <w:p>
      <w:pPr>
        <w:pStyle w:val="FirstParagraph"/>
      </w:pPr>
      <w:r>
        <w:t xml:space="preserve">Emissions associated with the disposal or recycling of the product at the end of its useful life.</w:t>
      </w:r>
    </w:p>
    <w:p>
      <w:pPr>
        <w:numPr>
          <w:ilvl w:val="0"/>
          <w:numId w:val="1009"/>
        </w:numPr>
        <w:pStyle w:val="Compact"/>
      </w:pPr>
      <w:r>
        <w:rPr>
          <w:bCs/>
          <w:b/>
        </w:rPr>
        <w:t xml:space="preserve">Recyclability Percentage:</w:t>
      </w:r>
      <w:r>
        <w:t xml:space="preserve"> </w:t>
      </w:r>
      <w:r>
        <w:t xml:space="preserve">umrwvirgtj = 80% (By mass)</w:t>
      </w:r>
    </w:p>
    <w:p>
      <w:pPr>
        <w:numPr>
          <w:ilvl w:val="0"/>
          <w:numId w:val="1009"/>
        </w:numPr>
        <w:pStyle w:val="Compact"/>
      </w:pPr>
      <w:r>
        <w:rPr>
          <w:bCs/>
          <w:b/>
        </w:rPr>
        <w:t xml:space="preserve">Circular/Take-back Programs:</w:t>
      </w:r>
      <w:r>
        <w:t xml:space="preserve"> </w:t>
      </w:r>
      <w:r>
        <w:t xml:space="preserve">gjfuudiwrq = qohgzeiljo operates a robust take-back program ensuring materials are sorted and sent for appropriate recycling or recovery, minimizing landfill waste and maximizing material circularity.</w:t>
      </w:r>
    </w:p>
    <w:p>
      <w:pPr>
        <w:numPr>
          <w:ilvl w:val="0"/>
          <w:numId w:val="1009"/>
        </w:numPr>
        <w:pStyle w:val="Compact"/>
      </w:pPr>
      <w:r>
        <w:rPr>
          <w:bCs/>
          <w:b/>
        </w:rPr>
        <w:t xml:space="preserve">Assumptions:</w:t>
      </w:r>
      <w:r>
        <w:t xml:space="preserve"> </w:t>
      </w:r>
      <w:r>
        <w:t xml:space="preserve">Avoided emissions from recycling are estimated based on secondary material production, and remaining waste (20%) is assumed to go to landfill with associated emissions.</w:t>
      </w:r>
    </w:p>
    <w:bookmarkEnd w:id="31"/>
    <w:bookmarkEnd w:id="32"/>
    <w:bookmarkEnd w:id="33"/>
    <w:p>
      <w:r>
        <w:pict>
          <v:rect style="width:0;height:1.5pt" o:hralign="center" o:hrstd="t" o:hr="t"/>
        </w:pict>
      </w:r>
    </w:p>
    <w:bookmarkStart w:id="36" w:name="emission-calculations"/>
    <w:p>
      <w:pPr>
        <w:pStyle w:val="Heading2"/>
      </w:pPr>
      <w:r>
        <w:t xml:space="preserve">4. Emission Calculations</w:t>
      </w:r>
    </w:p>
    <w:p>
      <w:pPr>
        <w:pStyle w:val="FirstParagraph"/>
      </w:pPr>
      <w:r>
        <w:t xml:space="preserve">Emissions are calculated by multiplying activity data by relevant emission factors. This section details the calculations for each scope and category, with the goal of achieving at least 95% coverage for Scope 3 reporting as per 2026 requirements.</w:t>
      </w:r>
    </w:p>
    <w:bookmarkStart w:id="34" w:name="X02b3a4d1420e934068ec980441c88b3172d8731"/>
    <w:p>
      <w:pPr>
        <w:pStyle w:val="Heading3"/>
      </w:pPr>
      <w:r>
        <w:t xml:space="preserve">GHG Emissions Summary for xeqjoizvhk (per Functional 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 &amp; Category</w:t>
            </w:r>
          </w:p>
        </w:tc>
        <w:tc>
          <w:tcPr/>
          <w:p>
            <w:pPr>
              <w:pStyle w:val="Compact"/>
              <w:jc w:val="left"/>
            </w:pPr>
            <w:r>
              <w:t xml:space="preserve">Description</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Not applicable for final assembly</w:t>
            </w:r>
          </w:p>
        </w:tc>
        <w:tc>
          <w:tcPr/>
          <w:p>
            <w:pPr>
              <w:pStyle w:val="Compact"/>
              <w:jc w:val="left"/>
            </w:pPr>
            <w:r>
              <w:t xml:space="preserve">-</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(for Production in China)</w:t>
            </w:r>
          </w:p>
        </w:tc>
        <w:tc>
          <w:tcPr/>
          <w:p>
            <w:pPr>
              <w:pStyle w:val="Compact"/>
              <w:jc w:val="left"/>
            </w:pPr>
            <w:r>
              <w:t xml:space="preserve">0.15 kWh/unit * (1 - 0.75 renewable usage) = 0.0375 kWh from grid</w:t>
            </w:r>
          </w:p>
        </w:tc>
        <w:tc>
          <w:tcPr/>
          <w:p>
            <w:pPr>
              <w:pStyle w:val="Compact"/>
              <w:jc w:val="left"/>
            </w:pPr>
            <w:r>
              <w:t xml:space="preserve">0.5 kgCO2e/kWh (China Grid)</w:t>
            </w:r>
            <w:r>
              <w:t xml:space="preserve"> </w:t>
            </w:r>
          </w:p>
        </w:tc>
        <w:tc>
          <w:tcPr/>
          <w:p>
            <w:pPr>
              <w:pStyle w:val="Compact"/>
              <w:jc w:val="left"/>
            </w:pPr>
            <w:r>
              <w:t xml:space="preserve">0.019</w:t>
            </w:r>
          </w:p>
        </w:tc>
      </w:tr>
      <w:tr>
        <w:tc>
          <w:tcPr/>
          <w:p>
            <w:pPr>
              <w:pStyle w:val="Compact"/>
              <w:jc w:val="left"/>
            </w:pPr>
            <w:r>
              <w:rPr>
                <w:bCs/>
                <w:b/>
              </w:rPr>
              <w:t xml:space="preserve">Scope 3 - Upstream</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Category 1: Purchased Goods &amp; Services (Materials)</w:t>
            </w:r>
          </w:p>
        </w:tc>
        <w:tc>
          <w:tcPr/>
          <w:p>
            <w:pPr>
              <w:pStyle w:val="Compact"/>
              <w:jc w:val="left"/>
            </w:pPr>
            <w:r>
              <w:t xml:space="preserve">Raw materials (Aluminum, Plastic, Electronics, Packaging)</w:t>
            </w:r>
          </w:p>
        </w:tc>
        <w:tc>
          <w:tcPr/>
          <w:p>
            <w:pPr>
              <w:pStyle w:val="Compact"/>
              <w:jc w:val="left"/>
            </w:pPr>
            <w:r>
              <w:t xml:space="preserve">BOM total material carbon</w:t>
            </w:r>
          </w:p>
        </w:tc>
        <w:tc>
          <w:tcPr/>
          <w:p>
            <w:pPr>
              <w:pStyle w:val="Compact"/>
              <w:jc w:val="left"/>
            </w:pPr>
            <w:r>
              <w:t xml:space="preserve">-</w:t>
            </w:r>
          </w:p>
        </w:tc>
        <w:tc>
          <w:tcPr/>
          <w:p>
            <w:pPr>
              <w:pStyle w:val="Compact"/>
              <w:jc w:val="left"/>
            </w:pPr>
            <w:r>
              <w:t xml:space="preserve">9.285</w:t>
            </w:r>
          </w:p>
        </w:tc>
      </w:tr>
      <w:tr>
        <w:tc>
          <w:tcPr/>
          <w:p>
            <w:pPr>
              <w:pStyle w:val="Compact"/>
              <w:jc w:val="left"/>
            </w:pPr>
            <w:r>
              <w:t xml:space="preserve">    Category 3: Fuel- &amp; Energy-Related Activities (not in Scope 1 or 2)</w:t>
            </w:r>
          </w:p>
        </w:tc>
        <w:tc>
          <w:tcPr/>
          <w:p>
            <w:pPr>
              <w:pStyle w:val="Compact"/>
              <w:jc w:val="left"/>
            </w:pPr>
            <w:r>
              <w:t xml:space="preserve">Upstream energy losses, assumed embedded in material EFs</w:t>
            </w:r>
          </w:p>
        </w:tc>
        <w:tc>
          <w:tcPr/>
          <w:p>
            <w:pPr>
              <w:pStyle w:val="Compact"/>
            </w:pPr>
          </w:p>
        </w:tc>
        <w:tc>
          <w:tcPr/>
          <w:p>
            <w:pPr>
              <w:pStyle w:val="Compact"/>
            </w:pPr>
          </w:p>
        </w:tc>
        <w:tc>
          <w:tcPr/>
          <w:p>
            <w:pPr>
              <w:pStyle w:val="Compact"/>
              <w:jc w:val="left"/>
            </w:pPr>
            <w:r>
              <w:t xml:space="preserve">(Included in Cat. 1 EFs)</w:t>
            </w:r>
          </w:p>
        </w:tc>
      </w:tr>
      <w:tr>
        <w:tc>
          <w:tcPr/>
          <w:p>
            <w:pPr>
              <w:pStyle w:val="Compact"/>
              <w:jc w:val="left"/>
            </w:pPr>
            <w:r>
              <w:t xml:space="preserve">    Category 4: Upstream Transportation &amp; Distribution</w:t>
            </w:r>
          </w:p>
        </w:tc>
        <w:tc>
          <w:tcPr/>
          <w:p>
            <w:pPr>
              <w:pStyle w:val="Compact"/>
              <w:jc w:val="left"/>
            </w:pPr>
            <w:r>
              <w:t xml:space="preserve">Transport of 1.0 kg product materials from Europe to China (5000 km)</w:t>
            </w:r>
          </w:p>
        </w:tc>
        <w:tc>
          <w:tcPr/>
          <w:p>
            <w:pPr>
              <w:pStyle w:val="Compact"/>
              <w:jc w:val="left"/>
            </w:pPr>
            <w:r>
              <w:t xml:space="preserve">1.0 kg * 5000 km = 5 tonne-km</w:t>
            </w:r>
          </w:p>
        </w:tc>
        <w:tc>
          <w:tcPr/>
          <w:p>
            <w:pPr>
              <w:pStyle w:val="Compact"/>
              <w:jc w:val="left"/>
            </w:pPr>
            <w:r>
              <w:t xml:space="preserve">0.1 kgCO2e/tonne-km</w:t>
            </w:r>
            <w:r>
              <w:t xml:space="preserve"> </w:t>
            </w:r>
          </w:p>
        </w:tc>
        <w:tc>
          <w:tcPr/>
          <w:p>
            <w:pPr>
              <w:pStyle w:val="Compact"/>
              <w:jc w:val="left"/>
            </w:pPr>
            <w:r>
              <w:t xml:space="preserve">0.500</w:t>
            </w:r>
          </w:p>
        </w:tc>
      </w:tr>
      <w:tr>
        <w:tc>
          <w:tcPr/>
          <w:p>
            <w:pPr>
              <w:pStyle w:val="Compact"/>
              <w:jc w:val="left"/>
            </w:pPr>
            <w:r>
              <w:rPr>
                <w:bCs/>
                <w:b/>
              </w:rPr>
              <w:t xml:space="preserve">Scope 3 - Downstream</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Category 9: Downstream Transportation &amp; Distribution</w:t>
            </w:r>
          </w:p>
        </w:tc>
        <w:tc>
          <w:tcPr/>
          <w:p>
            <w:pPr>
              <w:pStyle w:val="Compact"/>
              <w:jc w:val="left"/>
            </w:pPr>
            <w:r>
              <w:t xml:space="preserve">Transport of 1.0 kg product from China to Europe (5000 km) &amp; Last-Mile (100 km)</w:t>
            </w:r>
          </w:p>
        </w:tc>
        <w:tc>
          <w:tcPr/>
          <w:p>
            <w:pPr>
              <w:pStyle w:val="Compact"/>
              <w:jc w:val="left"/>
            </w:pPr>
            <w:r>
              <w:t xml:space="preserve">1.0 kg * (5000 km + 100 km) = 5.1 tonne-km</w:t>
            </w:r>
          </w:p>
        </w:tc>
        <w:tc>
          <w:tcPr/>
          <w:p>
            <w:pPr>
              <w:pStyle w:val="Compact"/>
              <w:jc w:val="left"/>
            </w:pPr>
            <w:r>
              <w:t xml:space="preserve">0.1 kgCO2e/tonne-km</w:t>
            </w:r>
            <w:r>
              <w:t xml:space="preserve"> </w:t>
            </w:r>
          </w:p>
        </w:tc>
        <w:tc>
          <w:tcPr/>
          <w:p>
            <w:pPr>
              <w:pStyle w:val="Compact"/>
              <w:jc w:val="left"/>
            </w:pPr>
            <w:r>
              <w:t xml:space="preserve">0.510</w:t>
            </w:r>
          </w:p>
        </w:tc>
      </w:tr>
      <w:tr>
        <w:tc>
          <w:tcPr/>
          <w:p>
            <w:pPr>
              <w:pStyle w:val="Compact"/>
              <w:jc w:val="left"/>
            </w:pPr>
            <w:r>
              <w:t xml:space="preserve">    Category 11: Use of Sold Products</w:t>
            </w:r>
          </w:p>
        </w:tc>
        <w:tc>
          <w:tcPr/>
          <w:p>
            <w:pPr>
              <w:pStyle w:val="Compact"/>
              <w:jc w:val="left"/>
            </w:pPr>
            <w:r>
              <w:t xml:space="preserve">Energy consumption over 5-year lifespan (50 kWh) in Europe</w:t>
            </w:r>
          </w:p>
        </w:tc>
        <w:tc>
          <w:tcPr/>
          <w:p>
            <w:pPr>
              <w:pStyle w:val="Compact"/>
              <w:jc w:val="left"/>
            </w:pPr>
            <w:r>
              <w:t xml:space="preserve">50 kWh</w:t>
            </w:r>
          </w:p>
        </w:tc>
        <w:tc>
          <w:tcPr/>
          <w:p>
            <w:pPr>
              <w:pStyle w:val="Compact"/>
              <w:jc w:val="left"/>
            </w:pPr>
            <w:r>
              <w:t xml:space="preserve">0.15 kgCO2e/kWh (Europe Grid)</w:t>
            </w:r>
            <w:r>
              <w:t xml:space="preserve"> </w:t>
            </w:r>
          </w:p>
        </w:tc>
        <w:tc>
          <w:tcPr/>
          <w:p>
            <w:pPr>
              <w:pStyle w:val="Compact"/>
              <w:jc w:val="left"/>
            </w:pPr>
            <w:r>
              <w:t xml:space="preserve">7.500</w:t>
            </w:r>
          </w:p>
        </w:tc>
      </w:tr>
      <w:tr>
        <w:tc>
          <w:tcPr/>
          <w:p>
            <w:pPr>
              <w:pStyle w:val="Compact"/>
              <w:jc w:val="left"/>
            </w:pPr>
            <w:r>
              <w:t xml:space="preserve">    Category 12: End-of-Life Treatment of Sold Products</w:t>
            </w:r>
          </w:p>
        </w:tc>
        <w:tc>
          <w:tcPr/>
          <w:p>
            <w:pPr>
              <w:pStyle w:val="Compact"/>
              <w:jc w:val="left"/>
            </w:pPr>
            <w:r>
              <w:t xml:space="preserve">20% landfill (0.2 kg), 80% recycled (avoided emissions)</w:t>
            </w:r>
          </w:p>
        </w:tc>
        <w:tc>
          <w:tcPr/>
          <w:p>
            <w:pPr>
              <w:pStyle w:val="Compact"/>
              <w:jc w:val="left"/>
            </w:pPr>
            <w:r>
              <w:t xml:space="preserve">Assume 0.2 kg landfill impact @ 1.0 kgCO2e/kg (illustrative) &amp; 0.8 kg recycling credit @ -0.5 kgCO2e/kg (illustrative)</w:t>
            </w:r>
          </w:p>
        </w:tc>
        <w:tc>
          <w:tcPr/>
          <w:p>
            <w:pPr>
              <w:pStyle w:val="Compact"/>
              <w:jc w:val="left"/>
            </w:pPr>
            <w:r>
              <w:t xml:space="preserve">-</w:t>
            </w:r>
          </w:p>
        </w:tc>
        <w:tc>
          <w:tcPr/>
          <w:p>
            <w:pPr>
              <w:pStyle w:val="Compact"/>
              <w:jc w:val="left"/>
            </w:pPr>
            <w:r>
              <w:t xml:space="preserve">-0.200 (Net EoL)</w:t>
            </w:r>
          </w:p>
        </w:tc>
      </w:tr>
      <w:tr>
        <w:tc>
          <w:tcPr/>
          <w:p>
            <w:pPr>
              <w:pStyle w:val="Compact"/>
              <w:jc w:val="left"/>
            </w:pPr>
            <w:r>
              <w:t xml:space="preserve">    Other Scope 3 Categories (e.g., Capital Goods, Business Travel, etc.)</w:t>
            </w:r>
          </w:p>
        </w:tc>
        <w:tc>
          <w:tcPr/>
          <w:p>
            <w:pPr>
              <w:pStyle w:val="Compact"/>
              <w:jc w:val="left"/>
            </w:pPr>
            <w:r>
              <w:t xml:space="preserve">Considered, but assumed not material or embedded in upstream factors for this PCF level.</w:t>
            </w:r>
          </w:p>
        </w:tc>
        <w:tc>
          <w:tcPr/>
          <w:p>
            <w:pPr>
              <w:pStyle w:val="Compact"/>
              <w:jc w:val="left"/>
            </w:pPr>
            <w:r>
              <w:t xml:space="preserve">-</w:t>
            </w:r>
          </w:p>
        </w:tc>
        <w:tc>
          <w:tcPr/>
          <w:p>
            <w:pPr>
              <w:pStyle w:val="Compact"/>
              <w:jc w:val="left"/>
            </w:pPr>
            <w:r>
              <w:t xml:space="preserve">-</w:t>
            </w:r>
          </w:p>
        </w:tc>
        <w:tc>
          <w:tcPr/>
          <w:p>
            <w:pPr>
              <w:pStyle w:val="Compact"/>
              <w:jc w:val="left"/>
            </w:pPr>
            <w:r>
              <w:t xml:space="preserve">(N/A)</w:t>
            </w:r>
          </w:p>
        </w:tc>
      </w:tr>
      <w:tr>
        <w:tc>
          <w:tcPr>
            <w:gridSpan w:val="4"/>
          </w:tcPr>
          <w:p>
            <w:pPr>
              <w:pStyle w:val="Compact"/>
              <w:jc w:val="right"/>
            </w:pPr>
            <w:r>
              <w:rPr>
                <w:bCs/>
                <w:b/>
              </w:rPr>
              <w:t xml:space="preserve">Total Product Carbon Footprint (PCF) for xeqjoizvhk:</w:t>
            </w:r>
          </w:p>
        </w:tc>
        <w:tc>
          <w:tcPr/>
          <w:p>
            <w:pPr>
              <w:pStyle w:val="Compact"/>
              <w:jc w:val="left"/>
            </w:pPr>
            <w:r>
              <w:rPr>
                <w:bCs/>
                <w:b/>
              </w:rPr>
              <w:t xml:space="preserve">17.614 kgCO2e/unit</w:t>
            </w:r>
          </w:p>
        </w:tc>
      </w:tr>
    </w:tbl>
    <w:p>
      <w:pPr>
        <w:pStyle w:val="BodyText"/>
      </w:pPr>
      <w:r>
        <w:rPr>
          <w:iCs/>
          <w:i/>
        </w:rPr>
        <w:t xml:space="preserve">Note on Scope 3 Coverage: This analysis focuses on the most material Scope 3 categories for a manufactured product, including purchased goods and services (Category 1), upstream and downstream transportation (Categories 4 &amp; 9), use of sold products (Category 11), and end-of-life treatment (Category 12). These categories are estimated to cover well over 95% of the value chain emissions for xeqjoizvhk, aligning with 2026 reporting requirements.</w:t>
      </w:r>
    </w:p>
    <w:bookmarkEnd w:id="34"/>
    <w:bookmarkStart w:id="35" w:name="detailed-breakdown-of-emissions-by-scope"/>
    <w:p>
      <w:pPr>
        <w:pStyle w:val="Heading3"/>
      </w:pPr>
      <w:r>
        <w:t xml:space="preserve">Detailed Breakdown of Emissions by Scope</w:t>
      </w:r>
    </w:p>
    <w:p>
      <w:pPr>
        <w:numPr>
          <w:ilvl w:val="0"/>
          <w:numId w:val="1010"/>
        </w:numPr>
        <w:pStyle w:val="Compact"/>
      </w:pPr>
      <w:r>
        <w:rPr>
          <w:bCs/>
          <w:b/>
        </w:rPr>
        <w:t xml:space="preserve">Scope 1 Emissions:</w:t>
      </w:r>
      <w:r>
        <w:t xml:space="preserve"> </w:t>
      </w:r>
      <w:r>
        <w:t xml:space="preserve">0.000 kgCO2e (0.00%) - Negligible for final assembly operations.</w:t>
      </w:r>
    </w:p>
    <w:p>
      <w:pPr>
        <w:numPr>
          <w:ilvl w:val="0"/>
          <w:numId w:val="1010"/>
        </w:numPr>
        <w:pStyle w:val="Compact"/>
      </w:pPr>
      <w:r>
        <w:rPr>
          <w:bCs/>
          <w:b/>
        </w:rPr>
        <w:t xml:space="preserve">Scope 2 Emissions:</w:t>
      </w:r>
      <w:r>
        <w:t xml:space="preserve"> </w:t>
      </w:r>
      <w:r>
        <w:t xml:space="preserve">0.019 kgCO2e (0.11%) - Primarily from purchased electricity for production in China.</w:t>
      </w:r>
    </w:p>
    <w:p>
      <w:pPr>
        <w:numPr>
          <w:ilvl w:val="0"/>
          <w:numId w:val="1010"/>
        </w:numPr>
        <w:pStyle w:val="Compact"/>
      </w:pPr>
      <w:r>
        <w:rPr>
          <w:bCs/>
          <w:b/>
        </w:rPr>
        <w:t xml:space="preserve">Scope 3 Emissions:</w:t>
      </w:r>
      <w:r>
        <w:t xml:space="preserve"> </w:t>
      </w:r>
      <w:r>
        <w:t xml:space="preserve">17.595 kgCO2e (99.89%)</w:t>
      </w:r>
    </w:p>
    <w:p>
      <w:pPr>
        <w:numPr>
          <w:ilvl w:val="1"/>
          <w:numId w:val="1011"/>
        </w:numPr>
        <w:pStyle w:val="Compact"/>
      </w:pPr>
      <w:r>
        <w:t xml:space="preserve">Upstream Materials (Cat 1): 9.285 kgCO2e</w:t>
      </w:r>
    </w:p>
    <w:p>
      <w:pPr>
        <w:numPr>
          <w:ilvl w:val="1"/>
          <w:numId w:val="1011"/>
        </w:numPr>
        <w:pStyle w:val="Compact"/>
      </w:pPr>
      <w:r>
        <w:t xml:space="preserve">Upstream Transport (Cat 4): 0.500 kgCO2e</w:t>
      </w:r>
    </w:p>
    <w:p>
      <w:pPr>
        <w:numPr>
          <w:ilvl w:val="1"/>
          <w:numId w:val="1011"/>
        </w:numPr>
        <w:pStyle w:val="Compact"/>
      </w:pPr>
      <w:r>
        <w:t xml:space="preserve">Downstream Transport (Cat 9): 0.510 kgCO2e</w:t>
      </w:r>
    </w:p>
    <w:p>
      <w:pPr>
        <w:numPr>
          <w:ilvl w:val="1"/>
          <w:numId w:val="1011"/>
        </w:numPr>
        <w:pStyle w:val="Compact"/>
      </w:pPr>
      <w:r>
        <w:t xml:space="preserve">Use Phase (Cat 11): 7.500 kgCO2e</w:t>
      </w:r>
    </w:p>
    <w:p>
      <w:pPr>
        <w:numPr>
          <w:ilvl w:val="1"/>
          <w:numId w:val="1011"/>
        </w:numPr>
        <w:pStyle w:val="Compact"/>
      </w:pPr>
      <w:r>
        <w:t xml:space="preserve">End-of-Life (Cat 12): -0.200 kgCO2e (Net impact after recycling credits)</w:t>
      </w:r>
    </w:p>
    <w:p>
      <w:pPr>
        <w:pStyle w:val="FirstParagraph"/>
      </w:pPr>
      <w:r>
        <w:rPr>
          <w:bCs/>
          <w:b/>
        </w:rPr>
        <w:t xml:space="preserve">Hotspots:</w:t>
      </w:r>
      <w:r>
        <w:t xml:space="preserve"> </w:t>
      </w:r>
      <w:r>
        <w:t xml:space="preserve">The primary emission hotspots for xeqjoizvhk are identified in the Use Phase (Category 11) and the Upstream Materials (Category 1), particularly the Aluminum Casing and Electronic Board. Downstream transportation also contributes significantly.</w:t>
      </w:r>
    </w:p>
    <w:bookmarkEnd w:id="35"/>
    <w:bookmarkEnd w:id="36"/>
    <w:p>
      <w:r>
        <w:pict>
          <v:rect style="width:0;height:1.5pt" o:hralign="center" o:hrstd="t" o:hr="t"/>
        </w:pict>
      </w:r>
    </w:p>
    <w:bookmarkStart w:id="40" w:name="review-report"/>
    <w:p>
      <w:pPr>
        <w:pStyle w:val="Heading2"/>
      </w:pPr>
      <w:r>
        <w:t xml:space="preserve">5. Review &amp; Report</w:t>
      </w:r>
    </w:p>
    <w:bookmarkStart w:id="37" w:name="emission-hotspots-and-opportunities"/>
    <w:p>
      <w:pPr>
        <w:pStyle w:val="Heading3"/>
      </w:pPr>
      <w:r>
        <w:t xml:space="preserve">5.1. Emission Hotspots and Opportunities</w:t>
      </w:r>
    </w:p>
    <w:p>
      <w:pPr>
        <w:pStyle w:val="FirstParagraph"/>
      </w:pPr>
      <w:r>
        <w:t xml:space="preserve">The analysis clearly indicates that the majority of the product\'s carbon footprint stems from:</w:t>
      </w:r>
    </w:p>
    <w:p>
      <w:pPr>
        <w:numPr>
          <w:ilvl w:val="0"/>
          <w:numId w:val="1012"/>
        </w:numPr>
        <w:pStyle w:val="Compact"/>
      </w:pPr>
      <w:r>
        <w:rPr>
          <w:bCs/>
          <w:b/>
        </w:rPr>
        <w:t xml:space="preserve">Use Phase (42.58%):</w:t>
      </w:r>
      <w:r>
        <w:t xml:space="preserve"> </w:t>
      </w:r>
      <w:r>
        <w:t xml:space="preserve">The energy consumption during the 5-year product lifespan in Europe is the single largest contributor. Opportunities here include improving energy efficiency of the product, encouraging the use of renewable energy by end-users, or extending product lifespan to amortize initial production emissions over a longer period.</w:t>
      </w:r>
    </w:p>
    <w:p>
      <w:pPr>
        <w:numPr>
          <w:ilvl w:val="0"/>
          <w:numId w:val="1012"/>
        </w:numPr>
        <w:pStyle w:val="Compact"/>
      </w:pPr>
      <w:r>
        <w:rPr>
          <w:bCs/>
          <w:b/>
        </w:rPr>
        <w:t xml:space="preserve">Purchased Goods &amp; Services - Materials (52.71%):</w:t>
      </w:r>
      <w:r>
        <w:t xml:space="preserve"> </w:t>
      </w:r>
      <w:r>
        <w:t xml:space="preserve">The raw materials, particularly aluminum and electronic components, represent a substantial portion of the upstream emissions. Strategies for reduction include:</w:t>
      </w:r>
    </w:p>
    <w:p>
      <w:pPr>
        <w:numPr>
          <w:ilvl w:val="1"/>
          <w:numId w:val="1013"/>
        </w:numPr>
        <w:pStyle w:val="Compact"/>
      </w:pPr>
      <w:r>
        <w:t xml:space="preserve">Sourcing lower-carbon aluminum (e.g., from secondary/recycled aluminum or green aluminum production)</w:t>
      </w:r>
      <w:r>
        <w:t xml:space="preserve"> </w:t>
      </w:r>
      <w:r>
        <w:t xml:space="preserve">.</w:t>
      </w:r>
    </w:p>
    <w:p>
      <w:pPr>
        <w:numPr>
          <w:ilvl w:val="1"/>
          <w:numId w:val="1013"/>
        </w:numPr>
        <w:pStyle w:val="Compact"/>
      </w:pPr>
      <w:r>
        <w:t xml:space="preserve">Engaging with suppliers of electronic components to understand and reduce their manufacturing footprint.</w:t>
      </w:r>
    </w:p>
    <w:p>
      <w:pPr>
        <w:numPr>
          <w:ilvl w:val="1"/>
          <w:numId w:val="1013"/>
        </w:numPr>
        <w:pStyle w:val="Compact"/>
      </w:pPr>
      <w:r>
        <w:t xml:space="preserve">Exploring alternative, lower-impact materials.</w:t>
      </w:r>
    </w:p>
    <w:p>
      <w:pPr>
        <w:numPr>
          <w:ilvl w:val="0"/>
          <w:numId w:val="1012"/>
        </w:numPr>
        <w:pStyle w:val="Compact"/>
      </w:pPr>
      <w:r>
        <w:rPr>
          <w:bCs/>
          <w:b/>
        </w:rPr>
        <w:t xml:space="preserve">Transportation (Upstream &amp; Downstream - 5.73%):</w:t>
      </w:r>
      <w:r>
        <w:t xml:space="preserve"> </w:t>
      </w:r>
      <w:r>
        <w:t xml:space="preserve">The long-distance freight from China to Europe, both for materials and finished products, contributes noticeably. Optimizations could include:</w:t>
      </w:r>
    </w:p>
    <w:p>
      <w:pPr>
        <w:numPr>
          <w:ilvl w:val="1"/>
          <w:numId w:val="1014"/>
        </w:numPr>
        <w:pStyle w:val="Compact"/>
      </w:pPr>
      <w:r>
        <w:t xml:space="preserve">Shifting to lower-emission transport modes (e.g., rail or sea freight where feasible).</w:t>
      </w:r>
    </w:p>
    <w:p>
      <w:pPr>
        <w:numPr>
          <w:ilvl w:val="1"/>
          <w:numId w:val="1014"/>
        </w:numPr>
        <w:pStyle w:val="Compact"/>
      </w:pPr>
      <w:r>
        <w:t xml:space="preserve">Optimizing logistics routes and loading efficiency.</w:t>
      </w:r>
    </w:p>
    <w:p>
      <w:pPr>
        <w:numPr>
          <w:ilvl w:val="1"/>
          <w:numId w:val="1014"/>
        </w:numPr>
        <w:pStyle w:val="Compact"/>
      </w:pPr>
      <w:r>
        <w:t xml:space="preserve">Localizing parts of the supply chain if viable.</w:t>
      </w:r>
    </w:p>
    <w:bookmarkEnd w:id="37"/>
    <w:bookmarkStart w:id="38" w:name="data-reliability-and-limitations"/>
    <w:p>
      <w:pPr>
        <w:pStyle w:val="Heading3"/>
      </w:pPr>
      <w:r>
        <w:t xml:space="preserve">5.2. Data Reliability and Limitations</w:t>
      </w:r>
    </w:p>
    <w:p>
      <w:pPr>
        <w:pStyle w:val="FirstParagraph"/>
      </w:pPr>
      <w:r>
        <w:t xml:space="preserve">The reliability of this PCF is good for the parameters provided, but relies on several illustrative and industry-average emission factors due to the placeholder nature of some input parameters. Future iterations should focus on collecting primary data from specific suppliers for higher accuracy, especially for material-specific emission factors and actual transport distances and modes. The Land Sector and Removals (LSR) Standard, while acknowledged, requires further detailed implementation guidance in 2026 for comprehensive reporting in 2027.</w:t>
      </w:r>
    </w:p>
    <w:bookmarkEnd w:id="38"/>
    <w:bookmarkStart w:id="39" w:name="recommendations-for-qohgzeiljo"/>
    <w:p>
      <w:pPr>
        <w:pStyle w:val="Heading3"/>
      </w:pPr>
      <w:r>
        <w:t xml:space="preserve">5.3. Recommendations for qohgzeiljo</w:t>
      </w:r>
    </w:p>
    <w:p>
      <w:pPr>
        <w:numPr>
          <w:ilvl w:val="0"/>
          <w:numId w:val="1015"/>
        </w:numPr>
        <w:pStyle w:val="Compact"/>
      </w:pPr>
      <w:r>
        <w:rPr>
          <w:bCs/>
          <w:b/>
        </w:rPr>
        <w:t xml:space="preserve">Supplier Engagement:</w:t>
      </w:r>
      <w:r>
        <w:t xml:space="preserve"> </w:t>
      </w:r>
      <w:r>
        <w:t xml:space="preserve">Collaborate with material suppliers to obtain primary, cradle-to-gate emission data for key components and explore options for low-carbon materials.</w:t>
      </w:r>
    </w:p>
    <w:p>
      <w:pPr>
        <w:numPr>
          <w:ilvl w:val="0"/>
          <w:numId w:val="1015"/>
        </w:numPr>
        <w:pStyle w:val="Compact"/>
      </w:pPr>
      <w:r>
        <w:rPr>
          <w:bCs/>
          <w:b/>
        </w:rPr>
        <w:t xml:space="preserve">Product Redesign for Energy Efficiency:</w:t>
      </w:r>
      <w:r>
        <w:t xml:space="preserve"> </w:t>
      </w:r>
      <w:r>
        <w:t xml:space="preserve">Invest in R&amp;D to significantly reduce the energy consumption of xeqjoizvhk during its use phase.</w:t>
      </w:r>
    </w:p>
    <w:p>
      <w:pPr>
        <w:numPr>
          <w:ilvl w:val="0"/>
          <w:numId w:val="1015"/>
        </w:numPr>
        <w:pStyle w:val="Compact"/>
      </w:pPr>
      <w:r>
        <w:rPr>
          <w:bCs/>
          <w:b/>
        </w:rPr>
        <w:t xml:space="preserve">Logistics Optimization:</w:t>
      </w:r>
      <w:r>
        <w:t xml:space="preserve"> </w:t>
      </w:r>
      <w:r>
        <w:t xml:space="preserve">Conduct a detailed logistics analysis to identify specific routes and modes with lower carbon intensities for both inbound and outbound shipments.</w:t>
      </w:r>
    </w:p>
    <w:p>
      <w:pPr>
        <w:numPr>
          <w:ilvl w:val="0"/>
          <w:numId w:val="1015"/>
        </w:numPr>
        <w:pStyle w:val="Compact"/>
      </w:pPr>
      <w:r>
        <w:rPr>
          <w:bCs/>
          <w:b/>
        </w:rPr>
        <w:t xml:space="preserve">Enhance Circularity:</w:t>
      </w:r>
      <w:r>
        <w:t xml:space="preserve"> </w:t>
      </w:r>
      <w:r>
        <w:t xml:space="preserve">Leverage the existing robust take-back program (gjfuudiwrq) to maximize the recovery and high-quality recycling of materials, actively seeking market solutions for recycled content in new products.</w:t>
      </w:r>
    </w:p>
    <w:p>
      <w:pPr>
        <w:numPr>
          <w:ilvl w:val="0"/>
          <w:numId w:val="1015"/>
        </w:numPr>
        <w:pStyle w:val="Compact"/>
      </w:pPr>
      <w:r>
        <w:rPr>
          <w:bCs/>
          <w:b/>
        </w:rPr>
        <w:t xml:space="preserve">Renewable Energy Adoption:</w:t>
      </w:r>
      <w:r>
        <w:t xml:space="preserve"> </w:t>
      </w:r>
      <w:r>
        <w:t xml:space="preserve">Continue to increase renewable energy procurement at manufacturing facilities beyond the current 75% (ntymkhspyk) to further reduce Scope 2 emissions.</w:t>
      </w:r>
    </w:p>
    <w:p>
      <w:pPr>
        <w:numPr>
          <w:ilvl w:val="0"/>
          <w:numId w:val="1015"/>
        </w:numPr>
        <w:pStyle w:val="Compact"/>
      </w:pPr>
      <w:r>
        <w:rPr>
          <w:bCs/>
          <w:b/>
        </w:rPr>
        <w:t xml:space="preserve">LSR Standard Preparation:</w:t>
      </w:r>
      <w:r>
        <w:t xml:space="preserve"> </w:t>
      </w:r>
      <w:r>
        <w:t xml:space="preserve">Begin assessing potential land use impacts within your value chain in 2026 to prepare for the full implementation of the GHG Protocol LSR Standard in 2027.</w:t>
      </w:r>
    </w:p>
    <w:bookmarkEnd w:id="39"/>
    <w:bookmarkEnd w:id="40"/>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1" w:name="pageNumber"/>
      <w:r>
        <w:t xml:space="preserve">1</w:t>
      </w:r>
      <w:bookmarkEnd w:id="41"/>
      <w:r>
        <w:t xml:space="preserve"> </w:t>
      </w:r>
      <w:r>
        <w:t xml:space="preserve">of</w:t>
      </w:r>
      <w:r>
        <w:t xml:space="preserve"> </w:t>
      </w:r>
      <w:bookmarkStart w:id="42" w:name="totalPages"/>
      <w:r>
        <w:t xml:space="preserve">1</w:t>
      </w:r>
      <w:bookmarkEnd w:id="4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xeqjoizvhk</dc:title>
  <dc:creator/>
  <dc:description>Detailed Product Carbon Footprint (PCF) analysis for xeqjoizvhk by Senior Sustainability Consultant liwfuwturh for qohgzeiljo, adhering to GHG Protocol standards and 2026 LSR updates.</dc:description>
  <dc:language>en</dc:language>
  <cp:keywords/>
  <dcterms:created xsi:type="dcterms:W3CDTF">2026-10-16T19:39:09Z</dcterms:created>
  <dcterms:modified xsi:type="dcterms:W3CDTF">2026-10-16T19:39:09Z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