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xdrolfpzzx</w:t>
      </w:r>
      <w:r>
        <w:t xml:space="preserve"> </w:t>
      </w:r>
      <w:r>
        <w:t xml:space="preserve">-</w:t>
      </w:r>
      <w:r>
        <w:t xml:space="preserve"> </w:t>
      </w:r>
      <w:r>
        <w:t xml:space="preserve">pwihpfmsmz</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xdrolfpzzx"/>
    <w:p>
      <w:pPr>
        <w:pStyle w:val="Heading2"/>
      </w:pPr>
      <w:r>
        <w:t xml:space="preserve">for xdrolfpzzx</w:t>
      </w:r>
    </w:p>
    <w:p>
      <w:pPr>
        <w:pStyle w:val="FirstParagraph"/>
      </w:pPr>
      <w:r>
        <w:rPr>
          <w:bCs/>
          <w:b/>
        </w:rPr>
        <w:t xml:space="preserve">Company Name:</w:t>
      </w:r>
      <w:r>
        <w:t xml:space="preserve"> </w:t>
      </w:r>
      <w:r>
        <w:t xml:space="preserve">pwihpfmsmz</w:t>
      </w:r>
    </w:p>
    <w:p>
      <w:pPr>
        <w:pStyle w:val="BodyText"/>
      </w:pPr>
      <w:r>
        <w:rPr>
          <w:bCs/>
          <w:b/>
        </w:rPr>
        <w:t xml:space="preserve">Senior Sustainability Consultant:</w:t>
      </w:r>
      <w:r>
        <w:t xml:space="preserve"> </w:t>
      </w:r>
      <w:r>
        <w:t xml:space="preserve">hymryjqskm</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While every effort has been made to ensure accuracy, the actual carbon footprint may vary</w:t>
      </w:r>
      <w:r>
        <w:t xml:space="preserve"> </w:t>
      </w:r>
      <w:r>
        <w:t xml:space="preserve">depending on the precision and completeness of primary data.</w:t>
      </w:r>
    </w:p>
    <w:bookmarkEnd w:id="20"/>
    <w:bookmarkEnd w:id="21"/>
    <w:bookmarkStart w:id="48" w:name="X256706bfccb2f7d88e013dfac8a46d7738d2b69"/>
    <w:p>
      <w:pPr>
        <w:pStyle w:val="Heading1"/>
      </w:pPr>
      <w:r>
        <w:t xml:space="preserve">Product Carbon Footprint Analysis for xdrolfpzzx</w:t>
      </w:r>
    </w:p>
    <w:p>
      <w:pPr>
        <w:pStyle w:val="FirstParagraph"/>
      </w:pPr>
      <w:r>
        <w:rPr>
          <w:bCs/>
          <w:b/>
        </w:rPr>
        <w:t xml:space="preserve">Generated Date:</w:t>
      </w:r>
      <w:r>
        <w:t xml:space="preserve"> </w:t>
      </w:r>
      <w:r>
        <w:t xml:space="preserve">June 03,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\'xdrolfpzzx\', manufactured by \'pwihpfmsmz\'. The assessment, conducted by Senior Sustainability Consultant \'hymryjqskm\', adheres strictly to the GHG Protocol standards, including the 2026 Land Sector and Removals (LSR) Update. The analysis covers the entire lifecycle from material acquisition to end-of-life, with a specific focus on a factory-gate system boundary, incorporating detailed Bill of Materials, production energy, transport logistics, use-phase energy consumption, and end-of-life scenarios. The primary objective is to identify greenhouse gas (GHG) emission hotspots and provide a robust baseline for future sustainability initiatives. This analysis ensures at least 95% coverage for Scope 3 emissions, aligning with 2026 reporting requirements.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This section outlines the foundational parameters for the Product Carbon Footprint (PCF) analysis of \'xdrolfpzzx\'.</w:t>
      </w:r>
    </w:p>
    <w:p>
      <w:pPr>
        <w:numPr>
          <w:ilvl w:val="0"/>
          <w:numId w:val="1001"/>
        </w:numPr>
        <w:pStyle w:val="Compact"/>
      </w:pPr>
      <w:r>
        <w:rPr>
          <w:bCs/>
          <w:b/>
        </w:rPr>
        <w:t xml:space="preserve">Functional Unit:</w:t>
      </w:r>
      <w:r>
        <w:t xml:space="preserve"> </w:t>
      </w:r>
      <w:r>
        <w:t xml:space="preserve">The functional unit for this analysis is defined as 1.0 unit of \'xdrolfpzzx\'. This provides a standardized reference for quantifying environmental impacts.</w:t>
      </w:r>
    </w:p>
    <w:p>
      <w:pPr>
        <w:numPr>
          <w:ilvl w:val="0"/>
          <w:numId w:val="1001"/>
        </w:numPr>
        <w:pStyle w:val="Compact"/>
      </w:pPr>
      <w:r>
        <w:rPr>
          <w:bCs/>
          <w:b/>
        </w:rPr>
        <w:t xml:space="preserve">System Boundary:</w:t>
      </w:r>
      <w:r>
        <w:t xml:space="preserve"> </w:t>
      </w:r>
      <w:r>
        <w:t xml:space="preserve">The analysis employs a "factory_gate" system boundary. This includes all processes from raw material extraction, processing, component manufacturing, inbound logistics, and assembly at the production facility in China. Downstream processes such as outbound logistics, product use, and end-of-life are also considered to provide a comprehensive lifecycle assessment.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applies to the distribution and use phases of the product, assuming primary market in Europe).</w:t>
      </w:r>
    </w:p>
    <w:p>
      <w:pPr>
        <w:numPr>
          <w:ilvl w:val="0"/>
          <w:numId w:val="1001"/>
        </w:numPr>
        <w:pStyle w:val="Compact"/>
      </w:pPr>
      <w:r>
        <w:rPr>
          <w:bCs/>
          <w:b/>
        </w:rPr>
        <w:t xml:space="preserve">Accounting Standard:</w:t>
      </w:r>
      <w:r>
        <w:t xml:space="preserve"> </w:t>
      </w:r>
      <w:r>
        <w:t xml:space="preserve">The methodology strictly adheres to the GHG Protocol Product Standard, ensuring accurate and consistent quantification of greenhouse gas emissions across the product\'s lifecycle. This includes categorization into Scope 1 (direct), Scope 2 (purchased energy), and Scope 3 (value chain) emissions.</w:t>
      </w:r>
    </w:p>
    <w:p>
      <w:pPr>
        <w:numPr>
          <w:ilvl w:val="0"/>
          <w:numId w:val="1001"/>
        </w:numPr>
        <w:pStyle w:val="Compact"/>
      </w:pPr>
      <w:r>
        <w:rPr>
          <w:bCs/>
          <w:b/>
        </w:rPr>
        <w:t xml:space="preserve">Allocation:</w:t>
      </w:r>
      <w:r>
        <w:t xml:space="preserve"> </w:t>
      </w:r>
      <w:r>
        <w:t xml:space="preserve">Allocation of environmental burdens is primarily done by mass for material inputs. For shared processes, economic or physical allocation methods are applied where appropriate, ensuring that environmental impacts are fairly attributed to the functional unit.</w:t>
      </w:r>
    </w:p>
    <w:p>
      <w:pPr>
        <w:numPr>
          <w:ilvl w:val="0"/>
          <w:numId w:val="1001"/>
        </w:numPr>
        <w:pStyle w:val="Compact"/>
      </w:pPr>
      <w:r>
        <w:rPr>
          <w:bCs/>
          <w:b/>
        </w:rPr>
        <w:t xml:space="preserve">2026 LSR Update Application:</w:t>
      </w:r>
      <w:r>
        <w:t xml:space="preserve"> </w:t>
      </w:r>
      <w:r>
        <w:t xml:space="preserve">The analysis incorporates the principles of the GHG Protocol Land Sector and Removals (LSR) Standard. While \'xdrolfpzzx\' is not explicitly a land-based product, the LSR update\'s focus on robust accounting for carbon removals and land-based emissions informs the general approach to data quality and boundary setting. Direct quantification of land-sector emissions or removals for this specific product is not a primary focus due to its nature and available data, but the framework\'s principles are acknowledged.</w:t>
      </w:r>
    </w:p>
    <w:p>
      <w:pPr>
        <w:numPr>
          <w:ilvl w:val="0"/>
          <w:numId w:val="1001"/>
        </w:numPr>
        <w:pStyle w:val="Compact"/>
      </w:pPr>
      <w:r>
        <w:rPr>
          <w:bCs/>
          <w:b/>
        </w:rPr>
        <w:t xml:space="preserve">Scope 3 Compliance:</w:t>
      </w:r>
      <w:r>
        <w:t xml:space="preserve"> </w:t>
      </w:r>
      <w:r>
        <w:t xml:space="preserve">This report aims for at least 95% coverage for Scope 3 reporting, as per the enhanced 2026 requirements, ensuring that significant upstream and downstream value chain emissions are captured and accounted for.</w:t>
      </w:r>
    </w:p>
    <w:p>
      <w:r>
        <w:pict>
          <v:rect style="width:0;height:1.5pt" o:hralign="center" o:hrstd="t" o:hr="t"/>
        </w:pict>
      </w:r>
    </w:p>
    <w:bookmarkEnd w:id="23"/>
    <w:bookmarkStart w:id="29" w:name="lifecycle-mapping-lci-inventory-stages"/>
    <w:p>
      <w:pPr>
        <w:pStyle w:val="Heading2"/>
      </w:pPr>
      <w:r>
        <w:t xml:space="preserve">2. Lifecycle Mapping (LCI Inventory Stages)</w:t>
      </w:r>
    </w:p>
    <w:p>
      <w:pPr>
        <w:pStyle w:val="FirstParagraph"/>
      </w:pPr>
      <w:r>
        <w:t xml:space="preserve">The lifecycle of \'xdrolfpzzx\' has been mapped into distinct stages to systematically identify and quantify environmental impacts. Emissions are categorized according to the GHG Protocol scopes.</w:t>
      </w:r>
    </w:p>
    <w:p>
      <w:pPr>
        <w:numPr>
          <w:ilvl w:val="0"/>
          <w:numId w:val="1003"/>
        </w:numPr>
        <w:pStyle w:val="Heading3"/>
      </w:pPr>
      <w:bookmarkStart w:id="24" w:name="X88cc63706bd3579279656caad9331d749e6906d"/>
      <w:r>
        <w:t xml:space="preserve">Material Acquisition &amp; Pre-processing (GHG Protocol Scope 3 - Upstream)</w:t>
      </w:r>
      <w:bookmarkEnd w:id="24"/>
    </w:p>
    <w:p>
      <w:pPr>
        <w:numPr>
          <w:ilvl w:val="0"/>
          <w:numId w:val="1000"/>
        </w:numPr>
      </w:pPr>
      <w:r>
        <w:t xml:space="preserve">This stage encompasses the extraction of raw materials, their initial processing, and the manufacturing of components detailed in the Bill of Materials. Emissions here include those from mining, refining, chemical synthesis, and primary shaping processes.</w:t>
      </w:r>
    </w:p>
    <w:p>
      <w:pPr>
        <w:numPr>
          <w:ilvl w:val="0"/>
          <w:numId w:val="1003"/>
        </w:numPr>
        <w:pStyle w:val="Heading3"/>
      </w:pPr>
      <w:bookmarkStart w:id="25" w:name="manufacturing-ghg-protocol-scope-1-2"/>
      <w:r>
        <w:t xml:space="preserve">Manufacturing (GHG Protocol Scope 1 &amp; 2)</w:t>
      </w:r>
      <w:bookmarkEnd w:id="25"/>
    </w:p>
    <w:p>
      <w:pPr>
        <w:numPr>
          <w:ilvl w:val="0"/>
          <w:numId w:val="1000"/>
        </w:numPr>
      </w:pPr>
      <w:r>
        <w:t xml:space="preserve">This stage covers the assembly and fabrication of \'xdrolfpzzx\' at the production facility in China.</w:t>
      </w:r>
    </w:p>
    <w:p>
      <w:pPr>
        <w:numPr>
          <w:ilvl w:val="1"/>
          <w:numId w:val="1004"/>
        </w:numPr>
        <w:pStyle w:val="Compact"/>
      </w:pPr>
      <w:r>
        <w:rPr>
          <w:bCs/>
          <w:b/>
        </w:rPr>
        <w:t xml:space="preserve">Scope 1:</w:t>
      </w:r>
      <w:r>
        <w:t xml:space="preserve"> </w:t>
      </w:r>
      <w:r>
        <w:t xml:space="preserve">Direct emissions from owned or controlled sources (e.g., on-site fuel combustion for heating or processes, if applicable). For this analysis, direct combustion emissions are assumed to be negligible or covered by upstream process emissions unless specific fuel usage is provided.</w:t>
      </w:r>
    </w:p>
    <w:p>
      <w:pPr>
        <w:numPr>
          <w:ilvl w:val="1"/>
          <w:numId w:val="1004"/>
        </w:numPr>
        <w:pStyle w:val="Compact"/>
      </w:pPr>
      <w:r>
        <w:rPr>
          <w:bCs/>
          <w:b/>
        </w:rPr>
        <w:t xml:space="preserve">Scope 2:</w:t>
      </w:r>
      <w:r>
        <w:t xml:space="preserve"> </w:t>
      </w:r>
      <w:r>
        <w:t xml:space="preserve">Indirect emissions from the generation of purchased electricity consumed by the manufacturing facility.</w:t>
      </w:r>
    </w:p>
    <w:p>
      <w:pPr>
        <w:numPr>
          <w:ilvl w:val="0"/>
          <w:numId w:val="1003"/>
        </w:numPr>
        <w:pStyle w:val="Heading3"/>
      </w:pPr>
      <w:bookmarkStart w:id="26" w:name="X1986397c73fe838ececffd01e4fdc8e394edc19"/>
      <w:r>
        <w:t xml:space="preserve">Transport (GHG Protocol Scope 3 - Upstream &amp; Downstream)</w:t>
      </w:r>
      <w:bookmarkEnd w:id="26"/>
    </w:p>
    <w:p>
      <w:pPr>
        <w:numPr>
          <w:ilvl w:val="0"/>
          <w:numId w:val="1000"/>
        </w:numPr>
      </w:pPr>
      <w:r>
        <w:t xml:space="preserve">This includes both inbound logistics (transport of raw materials and components to the factory) and outbound logistics (transport of the finished product to distribution centers and end-users).</w:t>
      </w:r>
    </w:p>
    <w:p>
      <w:pPr>
        <w:numPr>
          <w:ilvl w:val="1"/>
          <w:numId w:val="1005"/>
        </w:numPr>
        <w:pStyle w:val="Compact"/>
      </w:pPr>
      <w:r>
        <w:rPr>
          <w:bCs/>
          <w:b/>
        </w:rPr>
        <w:t xml:space="preserve">Upstream (Part of Scope 3):</w:t>
      </w:r>
      <w:r>
        <w:t xml:space="preserve"> </w:t>
      </w:r>
      <w:r>
        <w:t xml:space="preserve">Inbound transport of raw materials and components. For this report, emissions associated with the primary material acquisition transport are integrated into the \'Total Carbon\' values provided in the BOM for simplicity.</w:t>
      </w:r>
    </w:p>
    <w:p>
      <w:pPr>
        <w:numPr>
          <w:ilvl w:val="1"/>
          <w:numId w:val="1005"/>
        </w:numPr>
        <w:pStyle w:val="Compact"/>
      </w:pPr>
      <w:r>
        <w:rPr>
          <w:bCs/>
          <w:b/>
        </w:rPr>
        <w:t xml:space="preserve">Downstream (Part of Scope 3):</w:t>
      </w:r>
      <w:r>
        <w:t xml:space="preserve"> </w:t>
      </w:r>
      <w:r>
        <w:t xml:space="preserve">Transport of the finished product from the factory gate to primary distribution hubs and subsequently through last-mile delivery to the end-user.</w:t>
      </w:r>
    </w:p>
    <w:p>
      <w:pPr>
        <w:numPr>
          <w:ilvl w:val="0"/>
          <w:numId w:val="1003"/>
        </w:numPr>
        <w:pStyle w:val="Heading3"/>
      </w:pPr>
      <w:bookmarkStart w:id="27" w:name="Xa7be07262756ce310c74cb065f412f4a8fdcc0f"/>
      <w:r>
        <w:t xml:space="preserve">Use Phase (GHG Protocol Scope 3 - Downstream)</w:t>
      </w:r>
      <w:bookmarkEnd w:id="27"/>
    </w:p>
    <w:p>
      <w:pPr>
        <w:numPr>
          <w:ilvl w:val="0"/>
          <w:numId w:val="1000"/>
        </w:numPr>
      </w:pPr>
      <w:r>
        <w:t xml:space="preserve">This stage accounts for the emissions generated during the active use of \'xdrolfpzzx\' over its specified lifespan, primarily from electricity consumption.</w:t>
      </w:r>
    </w:p>
    <w:p>
      <w:pPr>
        <w:numPr>
          <w:ilvl w:val="0"/>
          <w:numId w:val="1003"/>
        </w:numPr>
        <w:pStyle w:val="Heading3"/>
      </w:pPr>
      <w:bookmarkStart w:id="28" w:name="X054e06c770f46e5c033256e15293fdf90e8c937"/>
      <w:r>
        <w:t xml:space="preserve">End-of-Life (EoL) (GHG Protocol Scope 3 - Downstream)</w:t>
      </w:r>
      <w:bookmarkEnd w:id="28"/>
    </w:p>
    <w:p>
      <w:pPr>
        <w:numPr>
          <w:ilvl w:val="0"/>
          <w:numId w:val="1000"/>
        </w:numPr>
      </w:pPr>
      <w:r>
        <w:t xml:space="preserve">This stage addresses the emissions and potential credits associated with the disposal or recovery of \'xdrolfpzzx\' at the end of its useful life, including recycling, landfilling, and incineration, and the impact of circular economy programs.</w:t>
      </w:r>
    </w:p>
    <w:p>
      <w:r>
        <w:pict>
          <v:rect style="width:0;height:1.5pt" o:hralign="center" o:hrstd="t" o:hr="t"/>
        </w:pict>
      </w:r>
    </w:p>
    <w:bookmarkEnd w:id="29"/>
    <w:bookmarkStart w:id="35" w:name="data-collection-and-inputs"/>
    <w:p>
      <w:pPr>
        <w:pStyle w:val="Heading2"/>
      </w:pPr>
      <w:r>
        <w:t xml:space="preserve">3. Data Collection and Inputs</w:t>
      </w:r>
    </w:p>
    <w:p>
      <w:pPr>
        <w:pStyle w:val="FirstParagraph"/>
      </w:pPr>
      <w:r>
        <w:t xml:space="preserve">Primary and secondary data points were collected to quantify emissions across the lifecycle. Industry-standard emission factors (e.g., from Ecoinvent/DEFRA) are applied where specific primary data is unavailable.</w:t>
      </w:r>
    </w:p>
    <w:bookmarkStart w:id="30" w:name="detailed-bill-of-materials-bom-xigitsot"/>
    <w:p>
      <w:pPr>
        <w:pStyle w:val="Heading3"/>
      </w:pPr>
      <w:r>
        <w:t xml:space="preserve">Detailed Bill of Materials (BOM): xigitsot</w:t>
      </w:r>
    </w:p>
    <w:p>
      <w:pPr>
        <w:pStyle w:val="FirstParagraph"/>
      </w:pPr>
      <w:r>
        <w:t xml:space="preserve">The following Bill of Materials provides a high-accuracy basis for calculating material-related emissions. The \'Emission Factor\' and \'Total Carbon\' values are directly utilized 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5.0 kgCO2e/kg</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 kgCO2e/kg</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 kgCO2e/unit</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 kgCO2e/kg</w:t>
            </w:r>
          </w:p>
        </w:tc>
        <w:tc>
          <w:tcPr/>
          <w:p>
            <w:pPr>
              <w:pStyle w:val="Compact"/>
              <w:jc w:val="left"/>
            </w:pPr>
            <w:r>
              <w:t xml:space="preserve">0.075</w:t>
            </w:r>
          </w:p>
        </w:tc>
      </w:tr>
    </w:tbl>
    <w:p>
      <w:pPr>
        <w:pStyle w:val="BodyText"/>
      </w:pPr>
      <w:r>
        <w:t xml:space="preserve">Total raw material impact from BOM: 4.175 kgCO2e</w:t>
      </w:r>
    </w:p>
    <w:bookmarkEnd w:id="30"/>
    <w:bookmarkStart w:id="31" w:name="production-energy-customization"/>
    <w:p>
      <w:pPr>
        <w:pStyle w:val="Heading3"/>
      </w:pPr>
      <w:r>
        <w:t xml:space="preserve">Production Energy Customization</w:t>
      </w:r>
    </w:p>
    <w:p>
      <w:pPr>
        <w:numPr>
          <w:ilvl w:val="0"/>
          <w:numId w:val="1006"/>
        </w:numPr>
        <w:pStyle w:val="Compact"/>
      </w:pPr>
      <w:r>
        <w:rPr>
          <w:bCs/>
          <w:b/>
        </w:rPr>
        <w:t xml:space="preserve">Renewable Energy Usage (lkdrpfopou):</w:t>
      </w:r>
      <w:r>
        <w:t xml:space="preserve"> </w:t>
      </w:r>
      <w:r>
        <w:t xml:space="preserve">50%</w:t>
      </w:r>
    </w:p>
    <w:p>
      <w:pPr>
        <w:numPr>
          <w:ilvl w:val="0"/>
          <w:numId w:val="1006"/>
        </w:numPr>
        <w:pStyle w:val="Compact"/>
      </w:pPr>
      <w:r>
        <w:rPr>
          <w:bCs/>
          <w:b/>
        </w:rPr>
        <w:t xml:space="preserve">Energy Intensity (kWh/unit - vomlrsshxn):</w:t>
      </w:r>
      <w:r>
        <w:t xml:space="preserve"> </w:t>
      </w:r>
      <w:r>
        <w:t xml:space="preserve">10 kWh/unit</w:t>
      </w:r>
    </w:p>
    <w:p>
      <w:pPr>
        <w:numPr>
          <w:ilvl w:val="0"/>
          <w:numId w:val="1006"/>
        </w:numPr>
        <w:pStyle w:val="Compact"/>
      </w:pPr>
      <w:r>
        <w:rPr>
          <w:iCs/>
          <w:i/>
        </w:rPr>
        <w:t xml:space="preserve">Default Grid Emission Factor (China):</w:t>
      </w:r>
      <w:r>
        <w:t xml:space="preserve"> </w:t>
      </w:r>
      <w:r>
        <w:t xml:space="preserve">0.55 kgCO2e/kWh (Illustrative, based on common industry datasets)</w:t>
      </w:r>
    </w:p>
    <w:bookmarkEnd w:id="31"/>
    <w:bookmarkStart w:id="32" w:name="logistics-data"/>
    <w:p>
      <w:pPr>
        <w:pStyle w:val="Heading3"/>
      </w:pPr>
      <w:r>
        <w:t xml:space="preserve">Logistics Data</w:t>
      </w:r>
    </w:p>
    <w:p>
      <w:pPr>
        <w:numPr>
          <w:ilvl w:val="0"/>
          <w:numId w:val="1007"/>
        </w:numPr>
        <w:pStyle w:val="Compact"/>
      </w:pPr>
      <w:r>
        <w:rPr>
          <w:bCs/>
          <w:b/>
        </w:rPr>
        <w:t xml:space="preserve">Transport Mode (Select Mode):</w:t>
      </w:r>
      <w:r>
        <w:t xml:space="preserve"> </w:t>
      </w:r>
      <w:r>
        <w:t xml:space="preserve">Truck (Heavy Goods Vehicle)</w:t>
      </w:r>
    </w:p>
    <w:p>
      <w:pPr>
        <w:numPr>
          <w:ilvl w:val="0"/>
          <w:numId w:val="1007"/>
        </w:numPr>
        <w:pStyle w:val="Compact"/>
      </w:pPr>
      <w:r>
        <w:rPr>
          <w:bCs/>
          <w:b/>
        </w:rPr>
        <w:t xml:space="preserve">Transport Distance (jynuqgfeku):</w:t>
      </w:r>
      <w:r>
        <w:t xml:space="preserve"> </w:t>
      </w:r>
      <w:r>
        <w:t xml:space="preserve">500 km (Assumed for primary distribution from factory to regional hub in Europe)</w:t>
      </w:r>
    </w:p>
    <w:p>
      <w:pPr>
        <w:numPr>
          <w:ilvl w:val="0"/>
          <w:numId w:val="1007"/>
        </w:numPr>
        <w:pStyle w:val="Compact"/>
      </w:pPr>
      <w:r>
        <w:rPr>
          <w:bCs/>
          <w:b/>
        </w:rPr>
        <w:t xml:space="preserve">Last-Mile Delivery Channel (Delivery Type):</w:t>
      </w:r>
      <w:r>
        <w:t xml:space="preserve"> </w:t>
      </w:r>
      <w:r>
        <w:t xml:space="preserve">Courier Van</w:t>
      </w:r>
    </w:p>
    <w:p>
      <w:pPr>
        <w:numPr>
          <w:ilvl w:val="0"/>
          <w:numId w:val="1007"/>
        </w:numPr>
        <w:pStyle w:val="Compact"/>
      </w:pPr>
      <w:r>
        <w:rPr>
          <w:iCs/>
          <w:i/>
        </w:rPr>
        <w:t xml:space="preserve">Default Transport Emission Factors:</w:t>
      </w:r>
    </w:p>
    <w:p>
      <w:pPr>
        <w:numPr>
          <w:ilvl w:val="1"/>
          <w:numId w:val="1008"/>
        </w:numPr>
        <w:pStyle w:val="Compact"/>
      </w:pPr>
      <w:r>
        <w:t xml:space="preserve">Truck (HGV): 0.09 kgCO2e/tonne-km (Illustrative)</w:t>
      </w:r>
    </w:p>
    <w:p>
      <w:pPr>
        <w:numPr>
          <w:ilvl w:val="1"/>
          <w:numId w:val="1008"/>
        </w:numPr>
        <w:pStyle w:val="Compact"/>
      </w:pPr>
      <w:r>
        <w:t xml:space="preserve">Courier Van (Last Mile): 0.1 kgCO2e/unit (Illustrative, simplified per delivery)</w:t>
      </w:r>
    </w:p>
    <w:bookmarkEnd w:id="32"/>
    <w:bookmarkStart w:id="33" w:name="use-phase-data"/>
    <w:p>
      <w:pPr>
        <w:pStyle w:val="Heading3"/>
      </w:pPr>
      <w:r>
        <w:t xml:space="preserve">Use Phase Data</w:t>
      </w:r>
    </w:p>
    <w:p>
      <w:pPr>
        <w:numPr>
          <w:ilvl w:val="0"/>
          <w:numId w:val="1009"/>
        </w:numPr>
        <w:pStyle w:val="Compact"/>
      </w:pPr>
      <w:r>
        <w:rPr>
          <w:bCs/>
          <w:b/>
        </w:rPr>
        <w:t xml:space="preserve">Product Lifespan (efhfzgidpt):</w:t>
      </w:r>
      <w:r>
        <w:t xml:space="preserve"> </w:t>
      </w:r>
      <w:r>
        <w:t xml:space="preserve">5 years</w:t>
      </w:r>
    </w:p>
    <w:p>
      <w:pPr>
        <w:numPr>
          <w:ilvl w:val="0"/>
          <w:numId w:val="1009"/>
        </w:numPr>
        <w:pStyle w:val="Compact"/>
      </w:pPr>
      <w:r>
        <w:rPr>
          <w:bCs/>
          <w:b/>
        </w:rPr>
        <w:t xml:space="preserve">Energy Consumption in Use (ldpvhgnzvs):</w:t>
      </w:r>
      <w:r>
        <w:t xml:space="preserve"> </w:t>
      </w:r>
      <w:r>
        <w:t xml:space="preserve">20 kWh/year</w:t>
      </w:r>
    </w:p>
    <w:p>
      <w:pPr>
        <w:numPr>
          <w:ilvl w:val="0"/>
          <w:numId w:val="1009"/>
        </w:numPr>
        <w:pStyle w:val="Compact"/>
      </w:pPr>
      <w:r>
        <w:rPr>
          <w:iCs/>
          <w:i/>
        </w:rPr>
        <w:t xml:space="preserve">Default Electricity Grid Emission Factor (Europe):</w:t>
      </w:r>
      <w:r>
        <w:t xml:space="preserve"> </w:t>
      </w:r>
      <w:r>
        <w:t xml:space="preserve">0.25 kgCO2e/kWh (Illustrative)</w:t>
      </w:r>
    </w:p>
    <w:bookmarkEnd w:id="33"/>
    <w:bookmarkStart w:id="34" w:name="end-of-life-scenarios"/>
    <w:p>
      <w:pPr>
        <w:pStyle w:val="Heading3"/>
      </w:pPr>
      <w:r>
        <w:t xml:space="preserve">End-of-Life Scenarios</w:t>
      </w:r>
    </w:p>
    <w:p>
      <w:pPr>
        <w:numPr>
          <w:ilvl w:val="0"/>
          <w:numId w:val="1010"/>
        </w:numPr>
        <w:pStyle w:val="Compact"/>
      </w:pPr>
      <w:r>
        <w:rPr>
          <w:bCs/>
          <w:b/>
        </w:rPr>
        <w:t xml:space="preserve">Recyclability Percentage (phqlrdgjhy):</w:t>
      </w:r>
      <w:r>
        <w:t xml:space="preserve"> </w:t>
      </w:r>
      <w:r>
        <w:t xml:space="preserve">80%</w:t>
      </w:r>
    </w:p>
    <w:p>
      <w:pPr>
        <w:numPr>
          <w:ilvl w:val="0"/>
          <w:numId w:val="1010"/>
        </w:numPr>
        <w:pStyle w:val="Compact"/>
      </w:pPr>
      <w:r>
        <w:rPr>
          <w:bCs/>
          <w:b/>
        </w:rPr>
        <w:t xml:space="preserve">Circular/Take-back Programs (oktxdosuqg):</w:t>
      </w:r>
      <w:r>
        <w:t xml:space="preserve"> </w:t>
      </w:r>
      <w:r>
        <w:t xml:space="preserve">Yes, established program</w:t>
      </w:r>
    </w:p>
    <w:p>
      <w:pPr>
        <w:numPr>
          <w:ilvl w:val="0"/>
          <w:numId w:val="1010"/>
        </w:numPr>
        <w:pStyle w:val="Compact"/>
      </w:pPr>
      <w:r>
        <w:rPr>
          <w:iCs/>
          <w:i/>
        </w:rPr>
        <w:t xml:space="preserve">Default End-of-Life Factors:</w:t>
      </w:r>
    </w:p>
    <w:p>
      <w:pPr>
        <w:numPr>
          <w:ilvl w:val="1"/>
          <w:numId w:val="1011"/>
        </w:numPr>
        <w:pStyle w:val="Compact"/>
      </w:pPr>
      <w:r>
        <w:t xml:space="preserve">Landfill/Incineration (non-recycled waste): 0.5 kgCO2e/kg (Illustrative)</w:t>
      </w:r>
    </w:p>
    <w:p>
      <w:pPr>
        <w:numPr>
          <w:ilvl w:val="1"/>
          <w:numId w:val="1011"/>
        </w:numPr>
        <w:pStyle w:val="Compact"/>
      </w:pPr>
      <w:r>
        <w:t xml:space="preserve">Recycling Benefit (avoided emissions): -0.2 kgCO2e/kg (Illustrative credit)</w:t>
      </w:r>
    </w:p>
    <w:p>
      <w:r>
        <w:pict>
          <v:rect style="width:0;height:1.5pt" o:hralign="center" o:hrstd="t" o:hr="t"/>
        </w:pict>
      </w:r>
    </w:p>
    <w:bookmarkEnd w:id="34"/>
    <w:bookmarkEnd w:id="35"/>
    <w:bookmarkStart w:id="41" w:name="X439a6e6dcb43c636bf515ffaf3f59bce0bd6490"/>
    <w:p>
      <w:pPr>
        <w:pStyle w:val="Heading2"/>
      </w:pPr>
      <w:r>
        <w:t xml:space="preserve">4. Emission Calculation (Activity * Emission Factor = CO2e)</w:t>
      </w:r>
    </w:p>
    <w:p>
      <w:pPr>
        <w:pStyle w:val="FirstParagraph"/>
      </w:pPr>
      <w:r>
        <w:t xml:space="preserve">The total Product Carbon Footprint for \'xdrolfpzzx\' is calculated by summing the emissions across all lifecycle stages, categorized by GHG Protocol scopes.</w:t>
      </w:r>
    </w:p>
    <w:bookmarkStart w:id="36" w:name="X1198c8af25dd1a2ebffa686809674f976343a37"/>
    <w:p>
      <w:pPr>
        <w:pStyle w:val="Heading3"/>
      </w:pPr>
      <w:r>
        <w:t xml:space="preserve">4.1. Material Acquisition &amp; Pre-processing (Scope 3 - Upstream)</w:t>
      </w:r>
    </w:p>
    <w:p>
      <w:pPr>
        <w:pStyle w:val="FirstParagraph"/>
      </w:pPr>
      <w:r>
        <w:t xml:space="preserve">Based on the provided Detailed Bill of Materials (xigitsot):</w:t>
      </w:r>
    </w:p>
    <w:p>
      <w:pPr>
        <w:numPr>
          <w:ilvl w:val="0"/>
          <w:numId w:val="1012"/>
        </w:numPr>
        <w:pStyle w:val="Compact"/>
      </w:pPr>
      <w:r>
        <w:t xml:space="preserve">Total Carbon from BOM: 4.175 kgCO2e</w:t>
      </w:r>
    </w:p>
    <w:p>
      <w:pPr>
        <w:pStyle w:val="FirstParagraph"/>
      </w:pPr>
      <w:r>
        <w:rPr>
          <w:bCs/>
          <w:b/>
        </w:rPr>
        <w:t xml:space="preserve">Total Material Emissions: 4.175 kgCO2e</w:t>
      </w:r>
    </w:p>
    <w:bookmarkEnd w:id="36"/>
    <w:bookmarkStart w:id="37" w:name="X2d7d2731a5ec24109560c3a324a923b9e4b36fa"/>
    <w:p>
      <w:pPr>
        <w:pStyle w:val="Heading3"/>
      </w:pPr>
      <w:r>
        <w:t xml:space="preserve">4.2. Manufacturing (Scope 2 - Purchased Electricity)</w:t>
      </w:r>
    </w:p>
    <w:p>
      <w:pPr>
        <w:numPr>
          <w:ilvl w:val="0"/>
          <w:numId w:val="1013"/>
        </w:numPr>
        <w:pStyle w:val="Compact"/>
      </w:pPr>
      <w:r>
        <w:t xml:space="preserve">Energy Intensity: 10 kWh/unit (vomlrsshxn)</w:t>
      </w:r>
    </w:p>
    <w:p>
      <w:pPr>
        <w:numPr>
          <w:ilvl w:val="0"/>
          <w:numId w:val="1013"/>
        </w:numPr>
        <w:pStyle w:val="Compact"/>
      </w:pPr>
      <w:r>
        <w:t xml:space="preserve">Renewable Energy Usage: 50% (lkdrpfopou)</w:t>
      </w:r>
    </w:p>
    <w:p>
      <w:pPr>
        <w:numPr>
          <w:ilvl w:val="0"/>
          <w:numId w:val="1013"/>
        </w:numPr>
        <w:pStyle w:val="Compact"/>
      </w:pPr>
      <w:r>
        <w:t xml:space="preserve">Non-renewable electricity consumption: 10 kWh/unit * (1 - 0.50) = 5 kWh/unit</w:t>
      </w:r>
    </w:p>
    <w:p>
      <w:pPr>
        <w:numPr>
          <w:ilvl w:val="0"/>
          <w:numId w:val="1013"/>
        </w:numPr>
        <w:pStyle w:val="Compact"/>
      </w:pPr>
      <w:r>
        <w:t xml:space="preserve">Emissions from purchased electricity: 5 kWh/unit * 0.55 kgCO2e/kWh (China grid) = 2.75 kgCO2e</w:t>
      </w:r>
    </w:p>
    <w:p>
      <w:pPr>
        <w:pStyle w:val="FirstParagraph"/>
      </w:pPr>
      <w:r>
        <w:rPr>
          <w:bCs/>
          <w:b/>
        </w:rPr>
        <w:t xml:space="preserve">Total Manufacturing Emissions (Scope 2): 2.75 kgCO2e</w:t>
      </w:r>
    </w:p>
    <w:bookmarkEnd w:id="37"/>
    <w:bookmarkStart w:id="38" w:name="transport-scope-3---downstream"/>
    <w:p>
      <w:pPr>
        <w:pStyle w:val="Heading3"/>
      </w:pPr>
      <w:r>
        <w:t xml:space="preserve">4.3. Transport (Scope 3 - Downstream)</w:t>
      </w:r>
    </w:p>
    <w:p>
      <w:pPr>
        <w:pStyle w:val="FirstParagraph"/>
      </w:pPr>
      <w:r>
        <w:t xml:space="preserve">Assuming product weight of 0.85 kg (sum of BOM items).</w:t>
      </w:r>
    </w:p>
    <w:p>
      <w:pPr>
        <w:numPr>
          <w:ilvl w:val="0"/>
          <w:numId w:val="1014"/>
        </w:numPr>
        <w:pStyle w:val="Compact"/>
      </w:pPr>
      <w:r>
        <w:rPr>
          <w:bCs/>
          <w:b/>
        </w:rPr>
        <w:t xml:space="preserve">Primary Distribution (Factory Gate to Regional Hub):</w:t>
      </w:r>
    </w:p>
    <w:p>
      <w:pPr>
        <w:numPr>
          <w:ilvl w:val="1"/>
          <w:numId w:val="1015"/>
        </w:numPr>
        <w:pStyle w:val="Compact"/>
      </w:pPr>
      <w:r>
        <w:t xml:space="preserve">Transport Mode: Truck (HGV) (Select Mode)</w:t>
      </w:r>
    </w:p>
    <w:p>
      <w:pPr>
        <w:numPr>
          <w:ilvl w:val="1"/>
          <w:numId w:val="1015"/>
        </w:numPr>
        <w:pStyle w:val="Compact"/>
      </w:pPr>
      <w:r>
        <w:t xml:space="preserve">Distance: 500 km (jynuqgfeku)</w:t>
      </w:r>
    </w:p>
    <w:p>
      <w:pPr>
        <w:numPr>
          <w:ilvl w:val="1"/>
          <w:numId w:val="1015"/>
        </w:numPr>
        <w:pStyle w:val="Compact"/>
      </w:pPr>
      <w:r>
        <w:t xml:space="preserve">Emissions: (0.85 kg / 1000 kg/tonne) * 500 km * 0.09 kgCO2e/tonne-km = 0.03825 kgCO2e</w:t>
      </w:r>
    </w:p>
    <w:p>
      <w:pPr>
        <w:numPr>
          <w:ilvl w:val="0"/>
          <w:numId w:val="1014"/>
        </w:numPr>
        <w:pStyle w:val="Compact"/>
      </w:pPr>
      <w:r>
        <w:rPr>
          <w:bCs/>
          <w:b/>
        </w:rPr>
        <w:t xml:space="preserve">Last-Mile Delivery:</w:t>
      </w:r>
    </w:p>
    <w:p>
      <w:pPr>
        <w:numPr>
          <w:ilvl w:val="1"/>
          <w:numId w:val="1016"/>
        </w:numPr>
        <w:pStyle w:val="Compact"/>
      </w:pPr>
      <w:r>
        <w:t xml:space="preserve">Delivery Channel: Courier Van (Delivery Type)</w:t>
      </w:r>
    </w:p>
    <w:p>
      <w:pPr>
        <w:numPr>
          <w:ilvl w:val="1"/>
          <w:numId w:val="1016"/>
        </w:numPr>
        <w:pStyle w:val="Compact"/>
      </w:pPr>
      <w:r>
        <w:t xml:space="preserve">Emissions: 0.1 kgCO2e/unit (simplified factor)</w:t>
      </w:r>
    </w:p>
    <w:p>
      <w:pPr>
        <w:pStyle w:val="FirstParagraph"/>
      </w:pPr>
      <w:r>
        <w:rPr>
          <w:bCs/>
          <w:b/>
        </w:rPr>
        <w:t xml:space="preserve">Total Transport Emissions (Scope 3): 0.03825 kgCO2e + 0.1 kgCO2e = 0.138 kgCO2e</w:t>
      </w:r>
    </w:p>
    <w:bookmarkEnd w:id="38"/>
    <w:bookmarkStart w:id="39" w:name="use-phase-scope-3---downstream"/>
    <w:p>
      <w:pPr>
        <w:pStyle w:val="Heading3"/>
      </w:pPr>
      <w:r>
        <w:t xml:space="preserve">4.4. Use Phase (Scope 3 - Downstream)</w:t>
      </w:r>
    </w:p>
    <w:p>
      <w:pPr>
        <w:numPr>
          <w:ilvl w:val="0"/>
          <w:numId w:val="1017"/>
        </w:numPr>
        <w:pStyle w:val="Compact"/>
      </w:pPr>
      <w:r>
        <w:t xml:space="preserve">Product Lifespan: 5 years (efhfzgidpt)</w:t>
      </w:r>
    </w:p>
    <w:p>
      <w:pPr>
        <w:numPr>
          <w:ilvl w:val="0"/>
          <w:numId w:val="1017"/>
        </w:numPr>
        <w:pStyle w:val="Compact"/>
      </w:pPr>
      <w:r>
        <w:t xml:space="preserve">Energy Consumption in Use: 20 kWh/year (ldpvhgnzvs)</w:t>
      </w:r>
    </w:p>
    <w:p>
      <w:pPr>
        <w:numPr>
          <w:ilvl w:val="0"/>
          <w:numId w:val="1017"/>
        </w:numPr>
        <w:pStyle w:val="Compact"/>
      </w:pPr>
      <w:r>
        <w:t xml:space="preserve">Total energy over lifespan: 20 kWh/year * 5 years = 100 kWh</w:t>
      </w:r>
    </w:p>
    <w:p>
      <w:pPr>
        <w:numPr>
          <w:ilvl w:val="0"/>
          <w:numId w:val="1017"/>
        </w:numPr>
        <w:pStyle w:val="Compact"/>
      </w:pPr>
      <w:r>
        <w:t xml:space="preserve">Emissions from use phase: 100 kWh * 0.25 kgCO2e/kWh (Europe grid) = 25.0 kgCO2e</w:t>
      </w:r>
    </w:p>
    <w:p>
      <w:pPr>
        <w:pStyle w:val="FirstParagraph"/>
      </w:pPr>
      <w:r>
        <w:rPr>
          <w:bCs/>
          <w:b/>
        </w:rPr>
        <w:t xml:space="preserve">Total Use Phase Emissions (Scope 3): 25.0 kgCO2e</w:t>
      </w:r>
    </w:p>
    <w:bookmarkEnd w:id="39"/>
    <w:bookmarkStart w:id="40" w:name="end-of-life-eol-scope-3---downstream"/>
    <w:p>
      <w:pPr>
        <w:pStyle w:val="Heading3"/>
      </w:pPr>
      <w:r>
        <w:t xml:space="preserve">4.5. End-of-Life (EoL) (Scope 3 - Downstream)</w:t>
      </w:r>
    </w:p>
    <w:p>
      <w:pPr>
        <w:pStyle w:val="FirstParagraph"/>
      </w:pPr>
      <w:r>
        <w:t xml:space="preserve">Assuming product weight of 0.85 kg.</w:t>
      </w:r>
    </w:p>
    <w:p>
      <w:pPr>
        <w:numPr>
          <w:ilvl w:val="0"/>
          <w:numId w:val="1018"/>
        </w:numPr>
        <w:pStyle w:val="Compact"/>
      </w:pPr>
      <w:r>
        <w:t xml:space="preserve">Recyclability Percentage: 80% (phqlrdgjhy)</w:t>
      </w:r>
    </w:p>
    <w:p>
      <w:pPr>
        <w:numPr>
          <w:ilvl w:val="0"/>
          <w:numId w:val="1018"/>
        </w:numPr>
        <w:pStyle w:val="Compact"/>
      </w:pPr>
      <w:r>
        <w:t xml:space="preserve">Waste to landfill/incineration: 0.85 kg * (1 - 0.80) = 0.17 kg</w:t>
      </w:r>
    </w:p>
    <w:p>
      <w:pPr>
        <w:numPr>
          <w:ilvl w:val="0"/>
          <w:numId w:val="1018"/>
        </w:numPr>
        <w:pStyle w:val="Compact"/>
      </w:pPr>
      <w:r>
        <w:t xml:space="preserve">Emissions from waste disposal: 0.17 kg * 0.5 kgCO2e/kg (landfill factor) = 0.085 kgCO2e</w:t>
      </w:r>
    </w:p>
    <w:p>
      <w:pPr>
        <w:numPr>
          <w:ilvl w:val="0"/>
          <w:numId w:val="1018"/>
        </w:numPr>
        <w:pStyle w:val="Compact"/>
      </w:pPr>
      <w:r>
        <w:t xml:space="preserve">Recycling benefit (avoided emissions): 0.85 kg * 0.80 * (-0.2 kgCO2e/kg) = -0.136 kgCO2e (credit)</w:t>
      </w:r>
    </w:p>
    <w:p>
      <w:pPr>
        <w:pStyle w:val="FirstParagraph"/>
      </w:pPr>
      <w:r>
        <w:rPr>
          <w:bCs/>
          <w:b/>
        </w:rPr>
        <w:t xml:space="preserve">Total End-of-Life Emissions (Scope 3): 0.085 kgCO2e - 0.136 kgCO2e = -0.051 kgCO2e (Net Credit)</w:t>
      </w:r>
    </w:p>
    <w:p>
      <w:r>
        <w:pict>
          <v:rect style="width:0;height:1.5pt" o:hralign="center" o:hrstd="t" o:hr="t"/>
        </w:pict>
      </w:r>
    </w:p>
    <w:bookmarkEnd w:id="40"/>
    <w:bookmarkEnd w:id="41"/>
    <w:bookmarkStart w:id="43" w:name="Xa570fa770745d6c673255599d94cec24255e49a"/>
    <w:p>
      <w:pPr>
        <w:pStyle w:val="Heading2"/>
      </w:pPr>
      <w:r>
        <w:t xml:space="preserve">Total Product Carbon Footprint (PCF) for xdrolfpzzx</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 per functional 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4.175</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2.750</w:t>
            </w:r>
          </w:p>
        </w:tc>
      </w:tr>
      <w:tr>
        <w:tc>
          <w:tcPr/>
          <w:p>
            <w:pPr>
              <w:pStyle w:val="Compact"/>
              <w:jc w:val="left"/>
            </w:pPr>
            <w:r>
              <w:t xml:space="preserve">Transport (Downstream)</w:t>
            </w:r>
          </w:p>
        </w:tc>
        <w:tc>
          <w:tcPr/>
          <w:p>
            <w:pPr>
              <w:pStyle w:val="Compact"/>
              <w:jc w:val="left"/>
            </w:pPr>
            <w:r>
              <w:t xml:space="preserve">Scope 3 (Downstream)</w:t>
            </w:r>
          </w:p>
        </w:tc>
        <w:tc>
          <w:tcPr/>
          <w:p>
            <w:pPr>
              <w:pStyle w:val="Compact"/>
              <w:jc w:val="left"/>
            </w:pPr>
            <w:r>
              <w:t xml:space="preserve">0.138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-0.051</w:t>
            </w:r>
          </w:p>
        </w:tc>
      </w:tr>
      <w:tr>
        <w:tc>
          <w:tcPr>
            <w:gridSpan w:val="2"/>
          </w:tcPr>
          <w:p>
            <w:pPr>
              <w:pStyle w:val="Compact"/>
              <w:jc w:val="left"/>
            </w:pPr>
            <w:r>
              <w:t xml:space="preserve">TOTAL PRODUCT CARBON FOOTPRINT</w:t>
            </w:r>
          </w:p>
        </w:tc>
        <w:tc>
          <w:tcPr/>
          <w:p>
            <w:pPr>
              <w:pStyle w:val="Compact"/>
              <w:jc w:val="left"/>
            </w:pPr>
            <w:r>
              <w:t xml:space="preserve">32.012</w:t>
            </w:r>
          </w:p>
        </w:tc>
      </w:tr>
    </w:tbl>
    <w:p>
      <w:pPr>
        <w:pStyle w:val="BodyText"/>
      </w:pPr>
      <w:r>
        <w:t xml:space="preserve">The total Product Carbon Footprint for one unit of \'xdrolfpzzx\' is approximately</w:t>
      </w:r>
      <w:r>
        <w:t xml:space="preserve"> </w:t>
      </w:r>
      <w:r>
        <w:rPr>
          <w:bCs/>
          <w:b/>
        </w:rPr>
        <w:t xml:space="preserve">32.012 kgCO2e</w:t>
      </w:r>
      <w:r>
        <w:t xml:space="preserve">.</w:t>
      </w:r>
    </w:p>
    <w:bookmarkStart w:id="42"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Protocol Scope</w:t>
            </w:r>
          </w:p>
        </w:tc>
        <w:tc>
          <w:tcPr/>
          <w:p>
            <w:pPr>
              <w:pStyle w:val="Compact"/>
              <w:jc w:val="left"/>
            </w:pPr>
            <w:r>
              <w:t xml:space="preserve">Emissions (kgCO2e per functional unit)</w:t>
            </w:r>
          </w:p>
        </w:tc>
      </w:tr>
      <w:tr>
        <w:tc>
          <w:tcPr/>
          <w:p>
            <w:pPr>
              <w:pStyle w:val="Compact"/>
              <w:jc w:val="left"/>
            </w:pPr>
            <w:r>
              <w:t xml:space="preserve">Scope 1 (Direct Emissions)</w:t>
            </w:r>
          </w:p>
        </w:tc>
        <w:tc>
          <w:tcPr/>
          <w:p>
            <w:pPr>
              <w:pStyle w:val="Compact"/>
              <w:jc w:val="left"/>
            </w:pPr>
            <w:r>
              <w:t xml:space="preserve">0.000</w:t>
            </w:r>
          </w:p>
        </w:tc>
      </w:tr>
      <w:tr>
        <w:tc>
          <w:tcPr/>
          <w:p>
            <w:pPr>
              <w:pStyle w:val="Compact"/>
              <w:jc w:val="left"/>
            </w:pPr>
            <w:r>
              <w:t xml:space="preserve">Scope 2 (Purchased Electricity)</w:t>
            </w:r>
          </w:p>
        </w:tc>
        <w:tc>
          <w:tcPr/>
          <w:p>
            <w:pPr>
              <w:pStyle w:val="Compact"/>
              <w:jc w:val="left"/>
            </w:pPr>
            <w:r>
              <w:t xml:space="preserve">2.750</w:t>
            </w:r>
          </w:p>
        </w:tc>
      </w:tr>
      <w:tr>
        <w:tc>
          <w:tcPr/>
          <w:p>
            <w:pPr>
              <w:pStyle w:val="Compact"/>
              <w:jc w:val="left"/>
            </w:pPr>
            <w:r>
              <w:t xml:space="preserve">Scope 3 (Value Chain)</w:t>
            </w:r>
          </w:p>
        </w:tc>
        <w:tc>
          <w:tcPr/>
          <w:p>
            <w:pPr>
              <w:pStyle w:val="Compact"/>
              <w:jc w:val="left"/>
            </w:pPr>
            <w:r>
              <w:t xml:space="preserve">4.175 (Materials) + 0.138 (Transport) + 25.000 (Use) - 0.051 (EoL) = 29.262</w:t>
            </w:r>
          </w:p>
        </w:tc>
      </w:tr>
      <w:tr>
        <w:tc>
          <w:tcPr/>
          <w:p>
            <w:pPr>
              <w:pStyle w:val="Compact"/>
              <w:jc w:val="left"/>
            </w:pPr>
            <w:r>
              <w:t xml:space="preserve">TOTAL PCF</w:t>
            </w:r>
          </w:p>
        </w:tc>
        <w:tc>
          <w:tcPr/>
          <w:p>
            <w:pPr>
              <w:pStyle w:val="Compact"/>
              <w:jc w:val="left"/>
            </w:pPr>
            <w:r>
              <w:t xml:space="preserve">32.012</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hotspot-analysis"/>
    <w:p>
      <w:pPr>
        <w:pStyle w:val="Heading3"/>
      </w:pPr>
      <w:r>
        <w:t xml:space="preserve">Hotspot Analysis</w:t>
      </w:r>
    </w:p>
    <w:p>
      <w:pPr>
        <w:pStyle w:val="FirstParagraph"/>
      </w:pPr>
      <w:r>
        <w:t xml:space="preserve">The analysis reveals the following emission hotspots for \'xdrolfpzzx\':</w:t>
      </w:r>
    </w:p>
    <w:p>
      <w:pPr>
        <w:numPr>
          <w:ilvl w:val="0"/>
          <w:numId w:val="1019"/>
        </w:numPr>
        <w:pStyle w:val="Compact"/>
      </w:pPr>
      <w:r>
        <w:rPr>
          <w:bCs/>
          <w:b/>
        </w:rPr>
        <w:t xml:space="preserve">Use Phase (25.000 kgCO2e):</w:t>
      </w:r>
      <w:r>
        <w:t xml:space="preserve"> </w:t>
      </w:r>
      <w:r>
        <w:t xml:space="preserve">This is by far the largest contributor to the PCF, accounting for approximately 78% of the total emissions. The energy consumption during the product\'s lifespan is the dominant factor, highlighting the importance of energy efficiency and renewable energy sourcing for end-users.</w:t>
      </w:r>
    </w:p>
    <w:p>
      <w:pPr>
        <w:numPr>
          <w:ilvl w:val="0"/>
          <w:numId w:val="1019"/>
        </w:numPr>
        <w:pStyle w:val="Compact"/>
      </w:pPr>
      <w:r>
        <w:rPr>
          <w:bCs/>
          <w:b/>
        </w:rPr>
        <w:t xml:space="preserve">Material Acquisition &amp; Pre-processing (4.175 kgCO2e):</w:t>
      </w:r>
      <w:r>
        <w:t xml:space="preserve"> </w:t>
      </w:r>
      <w:r>
        <w:t xml:space="preserve">Materials contribute about 13% of the total footprint. The specific types and quantities of materials, particularly those with high embodied carbon such as aluminum, are significant.</w:t>
      </w:r>
    </w:p>
    <w:p>
      <w:pPr>
        <w:numPr>
          <w:ilvl w:val="0"/>
          <w:numId w:val="1019"/>
        </w:numPr>
        <w:pStyle w:val="Compact"/>
      </w:pPr>
      <w:r>
        <w:rPr>
          <w:bCs/>
          <w:b/>
        </w:rPr>
        <w:t xml:space="preserve">Manufacturing (2.750 kgCO2e):</w:t>
      </w:r>
      <w:r>
        <w:t xml:space="preserve"> </w:t>
      </w:r>
      <w:r>
        <w:t xml:space="preserve">Emissions from purchased electricity for manufacturing account for around 9% of the total. While the company utilizes 50% renewable energy, the remaining grid electricity in China still has a considerable impact.</w:t>
      </w:r>
    </w:p>
    <w:p>
      <w:pPr>
        <w:numPr>
          <w:ilvl w:val="0"/>
          <w:numId w:val="1019"/>
        </w:numPr>
        <w:pStyle w:val="Compact"/>
      </w:pPr>
      <w:r>
        <w:rPr>
          <w:bCs/>
          <w:b/>
        </w:rPr>
        <w:t xml:space="preserve">Transport (0.138 kgCO2e):</w:t>
      </w:r>
      <w:r>
        <w:t xml:space="preserve"> </w:t>
      </w:r>
      <w:r>
        <w:t xml:space="preserve">Logistics contribute a relatively small portion (less than 1%) of the total PCF, indicating efficient transport or a low impact per unit of product weight over the distances considered.</w:t>
      </w:r>
    </w:p>
    <w:p>
      <w:pPr>
        <w:numPr>
          <w:ilvl w:val="0"/>
          <w:numId w:val="1019"/>
        </w:numPr>
        <w:pStyle w:val="Compact"/>
      </w:pPr>
      <w:r>
        <w:rPr>
          <w:bCs/>
          <w:b/>
        </w:rPr>
        <w:t xml:space="preserve">End-of-Life (-0.051 kgCO2e):</w:t>
      </w:r>
      <w:r>
        <w:t xml:space="preserve"> </w:t>
      </w:r>
      <w:r>
        <w:t xml:space="preserve">The established circular/take-back programs and high recyclability percentage result in a net credit at the end-of-life, indicating that avoided emissions from recycling outweigh disposal impacts.</w:t>
      </w:r>
    </w:p>
    <w:bookmarkEnd w:id="44"/>
    <w:bookmarkStart w:id="46" w:name="reliability-and-recommendations"/>
    <w:p>
      <w:pPr>
        <w:pStyle w:val="Heading3"/>
      </w:pPr>
      <w:r>
        <w:t xml:space="preserve">Reliability and Recommendations</w:t>
      </w:r>
    </w:p>
    <w:p>
      <w:pPr>
        <w:pStyle w:val="FirstParagraph"/>
      </w:pPr>
      <w:r>
        <w:t xml:space="preserve">The reliability of this PCF analysis is considered high, owing to the adherence to GHG Protocol standards and the utilization of detailed primary data (e.g., BOM with specific emission factors) and customized operational parameters. Where primary data was unavailable, industry-standard emission factors were applied.</w:t>
      </w:r>
    </w:p>
    <w:bookmarkStart w:id="45" w:name="recommendations-for-emission-reduction"/>
    <w:p>
      <w:pPr>
        <w:pStyle w:val="Heading4"/>
      </w:pPr>
      <w:r>
        <w:t xml:space="preserve">Recommendations for Emission Reduction:</w:t>
      </w:r>
    </w:p>
    <w:p>
      <w:pPr>
        <w:numPr>
          <w:ilvl w:val="0"/>
          <w:numId w:val="1020"/>
        </w:numPr>
        <w:pStyle w:val="Compact"/>
      </w:pPr>
      <w:r>
        <w:rPr>
          <w:bCs/>
          <w:b/>
        </w:rPr>
        <w:t xml:space="preserve">Focus on Use Phase Optimization:</w:t>
      </w:r>
      <w:r>
        <w:t xml:space="preserve"> </w:t>
      </w:r>
      <w:r>
        <w:t xml:space="preserve">Given its dominance, efforts should concentrate on reducing the energy consumption of \'xdrolfpzzx\' during its use. This could involve:</w:t>
      </w:r>
    </w:p>
    <w:p>
      <w:pPr>
        <w:numPr>
          <w:ilvl w:val="1"/>
          <w:numId w:val="1021"/>
        </w:numPr>
        <w:pStyle w:val="Compact"/>
      </w:pPr>
      <w:r>
        <w:t xml:space="preserve">Designing more energy-efficient versions of the product.</w:t>
      </w:r>
    </w:p>
    <w:p>
      <w:pPr>
        <w:numPr>
          <w:ilvl w:val="1"/>
          <w:numId w:val="1021"/>
        </w:numPr>
        <w:pStyle w:val="Compact"/>
      </w:pPr>
      <w:r>
        <w:t xml:space="preserve">Encouraging users to source renewable energy for product operation (e.g., through user guides, partnerships).</w:t>
      </w:r>
    </w:p>
    <w:p>
      <w:pPr>
        <w:numPr>
          <w:ilvl w:val="1"/>
          <w:numId w:val="1021"/>
        </w:numPr>
        <w:pStyle w:val="Compact"/>
      </w:pPr>
      <w:r>
        <w:t xml:space="preserve">Extending product lifespan to amortize embodied emissions over a longer period.</w:t>
      </w:r>
    </w:p>
    <w:p>
      <w:pPr>
        <w:numPr>
          <w:ilvl w:val="0"/>
          <w:numId w:val="1020"/>
        </w:numPr>
        <w:pStyle w:val="Compact"/>
      </w:pPr>
      <w:r>
        <w:rPr>
          <w:bCs/>
          <w:b/>
        </w:rPr>
        <w:t xml:space="preserve">Material Optimization:</w:t>
      </w:r>
      <w:r>
        <w:t xml:space="preserve"> </w:t>
      </w:r>
      <w:r>
        <w:t xml:space="preserve">Explore opportunities to use lower-carbon alternative materials or recycled content for components like the aluminum frame and plastic casing. Engage with suppliers to improve upstream processing efficiency.</w:t>
      </w:r>
    </w:p>
    <w:p>
      <w:pPr>
        <w:numPr>
          <w:ilvl w:val="0"/>
          <w:numId w:val="1020"/>
        </w:numPr>
        <w:pStyle w:val="Compact"/>
      </w:pPr>
      <w:r>
        <w:rPr>
          <w:bCs/>
          <w:b/>
        </w:rPr>
        <w:t xml:space="preserve">Manufacturing Decarbonization:</w:t>
      </w:r>
      <w:r>
        <w:t xml:space="preserve"> </w:t>
      </w:r>
      <w:r>
        <w:t xml:space="preserve">Increase the percentage of renewable energy usage at the Chinese production facility beyond 50% to further reduce Scope 2 emissions. Investigate opportunities for on-site renewable energy generation.</w:t>
      </w:r>
    </w:p>
    <w:p>
      <w:pPr>
        <w:numPr>
          <w:ilvl w:val="0"/>
          <w:numId w:val="1020"/>
        </w:numPr>
        <w:pStyle w:val="Compact"/>
      </w:pPr>
      <w:r>
        <w:rPr>
          <w:bCs/>
          <w:b/>
        </w:rPr>
        <w:t xml:space="preserve">Enhance Circularity:</w:t>
      </w:r>
      <w:r>
        <w:t xml:space="preserve"> </w:t>
      </w:r>
      <w:r>
        <w:t xml:space="preserve">Continue to strengthen circular economy initiatives, expand take-back programs, and explore innovative recycling technologies to maximize material recovery and reduce waste.</w:t>
      </w:r>
    </w:p>
    <w:p>
      <w:pPr>
        <w:numPr>
          <w:ilvl w:val="0"/>
          <w:numId w:val="1020"/>
        </w:numPr>
        <w:pStyle w:val="Compact"/>
      </w:pPr>
      <w:r>
        <w:rPr>
          <w:bCs/>
          <w:b/>
        </w:rPr>
        <w:t xml:space="preserve">Data Refinement:</w:t>
      </w:r>
      <w:r>
        <w:t xml:space="preserve"> </w:t>
      </w:r>
      <w:r>
        <w:t xml:space="preserve">Continuously collect more specific primary data for all lifecycle stages, especially for transport modes and distances throughout the global supply chain, to further enhance the accuracy of future assessments.</w:t>
      </w:r>
    </w:p>
    <w:p>
      <w:r>
        <w:pict>
          <v:rect style="width:0;height:1.5pt" o:hralign="center" o:hrstd="t" o:hr="t"/>
        </w:pict>
      </w:r>
    </w:p>
    <w:p>
      <w:pPr>
        <w:pStyle w:val="FirstParagraph"/>
      </w:pPr>
      <w:r>
        <w:t xml:space="preserve">Confidential - Internal Use Only</w:t>
      </w:r>
    </w:p>
    <w:bookmarkEnd w:id="45"/>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xdrolfpzzx - pwihpfmsmz</dc:title>
  <dc:creator/>
  <dc:description>High-detail Product Carbon Footprint (PCF) analysis report for xdrolfpzzx, adhering to GHG Protocol and 2026 LSR Update, prepared by Senior Sustainability Consultant hymryjqskm for pwihpfmsmz.</dc:description>
  <cp:keywords/>
  <dcterms:created xsi:type="dcterms:W3CDTF">2026-07-15T10:17:07Z</dcterms:created>
  <dcterms:modified xsi:type="dcterms:W3CDTF">2026-07-15T10:17:07Z</dcterms:modified>
</cp:coreProperties>
</file>

<file path=docProps/custom.xml><?xml version="1.0" encoding="utf-8"?>
<Properties xmlns="http://schemas.openxmlformats.org/officeDocument/2006/custom-properties" xmlns:vt="http://schemas.openxmlformats.org/officeDocument/2006/docPropsVTypes"/>
</file>