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wzizsjfxxr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wzizsjfxxr</w:t>
      </w:r>
    </w:p>
    <w:p>
      <w:pPr>
        <w:pStyle w:val="BodyText"/>
      </w:pPr>
      <w:r>
        <w:t xml:space="preserve">Company Name: ewqwmlwlux</w:t>
      </w:r>
    </w:p>
    <w:p>
      <w:pPr>
        <w:pStyle w:val="BodyText"/>
      </w:pPr>
      <w:r>
        <w:t xml:space="preserve">Accounting Standard: GHG Protocol</w:t>
      </w:r>
    </w:p>
    <w:p>
      <w:pPr>
        <w:pStyle w:val="BodyText"/>
      </w:pPr>
      <w:r>
        <w:t xml:space="preserve">Senior Sustainability Consultant: eetudwqrir</w:t>
      </w:r>
    </w:p>
    <w:p>
      <w:pPr>
        <w:pStyle w:val="BodyText"/>
      </w:pPr>
      <w:r>
        <w:t xml:space="preserve">Disclaimer: This report is generated based on available data and industry standards. While efforts have been made to ensure accuracy, the actual environmental impact may vary depending on specific operational details and evolving data.</w:t>
      </w:r>
    </w:p>
    <w:bookmarkEnd w:id="20"/>
    <w:bookmarkStart w:id="21" w:name="X69b0e4b80cdae13b908c8b67523ff9f5e0c5b3e"/>
    <w:p>
      <w:pPr>
        <w:pStyle w:val="Heading1"/>
      </w:pPr>
      <w:r>
        <w:t xml:space="preserve">Product Carbon Footprint Analysis for wzizsjfxxr</w:t>
      </w:r>
    </w:p>
    <w:p>
      <w:pPr>
        <w:pStyle w:val="FirstParagraph"/>
      </w:pPr>
      <w:r>
        <w:rPr>
          <w:bCs/>
          <w:b/>
        </w:rPr>
        <w:t xml:space="preserve">Generated Date:</w:t>
      </w:r>
      <w:r>
        <w:t xml:space="preserve"> </w:t>
      </w:r>
      <w:r>
        <w:t xml:space="preserve">May 18, 2026</w:t>
      </w:r>
    </w:p>
    <w:p>
      <w:pPr>
        <w:pStyle w:val="BodyText"/>
      </w:pPr>
      <w:r>
        <w:rPr>
          <w:bCs/>
          <w:b/>
        </w:rPr>
        <w:t xml:space="preserve">Prepared by:</w:t>
      </w:r>
      <w:r>
        <w:t xml:space="preserve"> </w:t>
      </w:r>
      <w:r>
        <w:t xml:space="preserve">eetudwqrir, Senior Sustainability Consultant</w:t>
      </w:r>
    </w:p>
    <w:p>
      <w:pPr>
        <w:pStyle w:val="BodyText"/>
      </w:pPr>
      <w:r>
        <w:rPr>
          <w:bCs/>
          <w:b/>
        </w:rPr>
        <w:t xml:space="preserve">For:</w:t>
      </w:r>
      <w:r>
        <w:t xml:space="preserve"> </w:t>
      </w:r>
      <w:r>
        <w:t xml:space="preserve">ewqwmlwlux</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wzizsjfxxr, manufactured by ewqwmlwlux. The analysis, conducted by eetudwqrir, a Senior Sustainability Consultant specializing in GHG Protocol, adheres strictly to the GHG Protocol Corporate Accounting and Reporting Standard. The objective is to quantify the greenhouse gas (GHG) emissions associated with wzizsjfxxr across its lifecycle, from material sourcing to end-of-life, with a system boundary set at \'factory_gate\' for the primary production phase. This analysis incorporates specific Bill of Materials (BOM) data, transport logistics, energy customization, use-phase consumption, and end-of-life scenarios, providing a robust baseline for identifying emission hotspots and informing sustainability strategies.</w:t>
      </w:r>
    </w:p>
    <w:p>
      <w:r>
        <w:pict>
          <v:rect style="width:0;height:1.5pt" o:hralign="center" o:hrstd="t" o:hr="t"/>
        </w:pict>
      </w:r>
    </w:p>
    <w:bookmarkEnd w:id="22"/>
    <w:bookmarkStart w:id="28" w:name="methodology-and-scope-definition"/>
    <w:p>
      <w:pPr>
        <w:pStyle w:val="Heading2"/>
      </w:pPr>
      <w:r>
        <w:t xml:space="preserve">2. Methodology and Scope Definition</w:t>
      </w:r>
    </w:p>
    <w:p>
      <w:pPr>
        <w:pStyle w:val="FirstParagraph"/>
      </w:pPr>
      <w:r>
        <w:t xml:space="preserve">The Product Carbon Footprint (PCF) analysis for wzizsjfxxr follows the five-step methodology prescribed by the GHG Protocol, ensuring comprehensive and consistent reporting. Emissions are categorized into Scope 1 (direct emissions), Scope 2 (purchased energy emissions), and Scope 3 (value chain emissions), with a particular focus on achieving at least 95% coverage for Scope 3 as per 2026 requirements. The 2026 Land Sector and Removals (LSR) Standard is also acknowledged for potential future incorporation of land use and carbon removals data.</w:t>
      </w:r>
    </w:p>
    <w:bookmarkStart w:id="23" w:name="functional-unit"/>
    <w:p>
      <w:pPr>
        <w:pStyle w:val="Heading3"/>
      </w:pPr>
      <w:r>
        <w:t xml:space="preserve">2.1. Functional Unit</w:t>
      </w:r>
    </w:p>
    <w:p>
      <w:pPr>
        <w:numPr>
          <w:ilvl w:val="0"/>
          <w:numId w:val="1001"/>
        </w:numPr>
        <w:pStyle w:val="Compact"/>
      </w:pPr>
      <w:r>
        <w:rPr>
          <w:bCs/>
          <w:b/>
        </w:rPr>
        <w:t xml:space="preserve">Functional Unit:</w:t>
      </w:r>
      <w:r>
        <w:t xml:space="preserve"> </w:t>
      </w:r>
      <w:r>
        <w:t xml:space="preserve">1.0 unit of wzizsjfxxr. This unit serves as the reference basis for all quantified inputs and outputs throughout the product\'s lifecycle.</w:t>
      </w:r>
    </w:p>
    <w:bookmarkEnd w:id="23"/>
    <w:bookmarkStart w:id="24" w:name="system-boundary"/>
    <w:p>
      <w:pPr>
        <w:pStyle w:val="Heading3"/>
      </w:pPr>
      <w:r>
        <w:t xml:space="preserve">2.2. System Boundary</w:t>
      </w:r>
    </w:p>
    <w:p>
      <w:pPr>
        <w:numPr>
          <w:ilvl w:val="0"/>
          <w:numId w:val="1002"/>
        </w:numPr>
        <w:pStyle w:val="Compact"/>
      </w:pPr>
      <w:r>
        <w:rPr>
          <w:bCs/>
          <w:b/>
        </w:rPr>
        <w:t xml:space="preserve">System Boundary:</w:t>
      </w:r>
      <w:r>
        <w:t xml:space="preserve"> </w:t>
      </w:r>
      <w:r>
        <w:t xml:space="preserve">factory_gate. This analysis primarily focuses on emissions up to the point the product leaves the manufacturing facility. However, per the requirements, downstream emissions (transport to customer, use phase, end-of-life) are also included to provide a holistic view of the product\'s cradle-to-grave impact.</w:t>
      </w:r>
    </w:p>
    <w:p>
      <w:pPr>
        <w:numPr>
          <w:ilvl w:val="0"/>
          <w:numId w:val="1002"/>
        </w:numPr>
        <w:pStyle w:val="Compact"/>
      </w:pPr>
      <w:r>
        <w:t xml:space="preserve">The boundary includes:</w:t>
      </w:r>
    </w:p>
    <w:p>
      <w:pPr>
        <w:numPr>
          <w:ilvl w:val="1"/>
          <w:numId w:val="1003"/>
        </w:numPr>
        <w:pStyle w:val="Compact"/>
      </w:pPr>
      <w:r>
        <w:t xml:space="preserve">Upstream emissions from raw material extraction and processing.</w:t>
      </w:r>
    </w:p>
    <w:p>
      <w:pPr>
        <w:numPr>
          <w:ilvl w:val="1"/>
          <w:numId w:val="1003"/>
        </w:numPr>
        <w:pStyle w:val="Compact"/>
      </w:pPr>
      <w:r>
        <w:t xml:space="preserve">Manufacturing emissions (direct and indirect energy).</w:t>
      </w:r>
    </w:p>
    <w:p>
      <w:pPr>
        <w:numPr>
          <w:ilvl w:val="1"/>
          <w:numId w:val="1003"/>
        </w:numPr>
        <w:pStyle w:val="Compact"/>
      </w:pPr>
      <w:r>
        <w:t xml:space="preserve">Upstream transportation of raw materials to the factory.</w:t>
      </w:r>
    </w:p>
    <w:p>
      <w:pPr>
        <w:numPr>
          <w:ilvl w:val="1"/>
          <w:numId w:val="1003"/>
        </w:numPr>
        <w:pStyle w:val="Compact"/>
      </w:pPr>
      <w:r>
        <w:t xml:space="preserve">Downstream transportation from factory to customer (if applicable to \'factory_gate\' for initial delivery).</w:t>
      </w:r>
    </w:p>
    <w:p>
      <w:pPr>
        <w:numPr>
          <w:ilvl w:val="1"/>
          <w:numId w:val="1003"/>
        </w:numPr>
        <w:pStyle w:val="Compact"/>
      </w:pPr>
      <w:r>
        <w:t xml:space="preserve">Use-phase emissions.</w:t>
      </w:r>
    </w:p>
    <w:p>
      <w:pPr>
        <w:numPr>
          <w:ilvl w:val="1"/>
          <w:numId w:val="1003"/>
        </w:numPr>
        <w:pStyle w:val="Compact"/>
      </w:pPr>
      <w:r>
        <w:t xml:space="preserve">End-of-Life emissions and credits.</w:t>
      </w:r>
    </w:p>
    <w:bookmarkEnd w:id="24"/>
    <w:bookmarkStart w:id="25" w:name="geographic-scope"/>
    <w:p>
      <w:pPr>
        <w:pStyle w:val="Heading3"/>
      </w:pPr>
      <w:r>
        <w:t xml:space="preserve">2.3.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significant transport routes and market focus in Europe).</w:t>
      </w:r>
    </w:p>
    <w:p>
      <w:pPr>
        <w:numPr>
          <w:ilvl w:val="0"/>
          <w:numId w:val="1004"/>
        </w:numPr>
        <w:pStyle w:val="Compact"/>
      </w:pPr>
      <w:r>
        <w:t xml:space="preserve">Emission factors and energy grids are selected to reflect these geographic specificities where possible.</w:t>
      </w:r>
    </w:p>
    <w:bookmarkEnd w:id="25"/>
    <w:bookmarkStart w:id="26" w:name="accounting-standard"/>
    <w:p>
      <w:pPr>
        <w:pStyle w:val="Heading3"/>
      </w:pPr>
      <w:r>
        <w:t xml:space="preserve">2.4. Accounting Standard</w:t>
      </w:r>
    </w:p>
    <w:p>
      <w:pPr>
        <w:numPr>
          <w:ilvl w:val="0"/>
          <w:numId w:val="1005"/>
        </w:numPr>
        <w:pStyle w:val="Compact"/>
      </w:pPr>
      <w:r>
        <w:rPr>
          <w:bCs/>
          <w:b/>
        </w:rPr>
        <w:t xml:space="preserve">Accounting Standard:</w:t>
      </w:r>
      <w:r>
        <w:t xml:space="preserve"> </w:t>
      </w:r>
      <w:r>
        <w:t xml:space="preserve">GHG Protocol Product Standard, with consideration for the GHG Protocol Corporate Standard for organizational-level categorization (Scope 1, 2, 3). The analysis also considers the 2026 Land Sector and Removals (LSR) Standard for potential future application of land use and carbon removals.</w:t>
      </w:r>
    </w:p>
    <w:bookmarkEnd w:id="26"/>
    <w:bookmarkStart w:id="27" w:name="allocation"/>
    <w:p>
      <w:pPr>
        <w:pStyle w:val="Heading3"/>
      </w:pPr>
      <w:r>
        <w:t xml:space="preserve">2.5. Allocation</w:t>
      </w:r>
    </w:p>
    <w:p>
      <w:pPr>
        <w:numPr>
          <w:ilvl w:val="0"/>
          <w:numId w:val="1006"/>
        </w:numPr>
        <w:pStyle w:val="Compact"/>
      </w:pPr>
      <w:r>
        <w:t xml:space="preserve">Allocation of emissions is performed on a direct physical basis (mass, energy consumption) for materials and processes directly attributable to the functional unit. No multi-output allocation is deemed necessary given the \'1.0 unit\' functional unit and product-specific focus.</w:t>
      </w:r>
    </w:p>
    <w:p>
      <w:r>
        <w:pict>
          <v:rect style="width:0;height:1.5pt" o:hralign="center" o:hrstd="t" o:hr="t"/>
        </w:pict>
      </w:r>
    </w:p>
    <w:bookmarkEnd w:id="27"/>
    <w:bookmarkEnd w:id="28"/>
    <w:bookmarkStart w:id="34" w:name="X2bf58de29a7a901ba932b9a6a779f7f86e80a1b"/>
    <w:p>
      <w:pPr>
        <w:pStyle w:val="Heading2"/>
      </w:pPr>
      <w:r>
        <w:t xml:space="preserve">3. Lifecycle Mapping and Data Collection (LCI Inventory)</w:t>
      </w:r>
    </w:p>
    <w:p>
      <w:pPr>
        <w:pStyle w:val="FirstParagraph"/>
      </w:pPr>
      <w:r>
        <w:t xml:space="preserve">This section details the lifecycle stages and the specific primary and secondary data points collected for the analysis. Industry-standard emission factors (proxies for Ecoinvent/DEFRA data where specific ones are not available) are used for calculation, with all assumptions clearly stated.</w:t>
      </w:r>
    </w:p>
    <w:bookmarkStart w:id="29" w:name="X1198c8af25dd1a2ebffa686809674f976343a37"/>
    <w:p>
      <w:pPr>
        <w:pStyle w:val="Heading3"/>
      </w:pPr>
      <w:r>
        <w:t xml:space="preserve">3.1. Material Acquisition &amp; Pre-processing (Scope 3 - Upstream)</w:t>
      </w:r>
    </w:p>
    <w:p>
      <w:pPr>
        <w:pStyle w:val="FirstParagraph"/>
      </w:pPr>
      <w:r>
        <w:t xml:space="preserve">The Detailed Bill of Materials (BOM) for wzizsjfxxr is provided as: qhowvhll. This data is critical for high-accuracy material impact calculation. The \'Total Carbon\' for each item is directly utilized.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 kg CO2e/kg</w:t>
            </w:r>
          </w:p>
        </w:tc>
        <w:tc>
          <w:tcPr/>
          <w:p>
            <w:pPr>
              <w:pStyle w:val="Compact"/>
              <w:jc w:val="left"/>
            </w:pPr>
            <w:r>
              <w:t xml:space="preserve">5 kg CO2e</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 kg CO2e/kg</w:t>
            </w:r>
          </w:p>
        </w:tc>
        <w:tc>
          <w:tcPr/>
          <w:p>
            <w:pPr>
              <w:pStyle w:val="Compact"/>
              <w:jc w:val="left"/>
            </w:pPr>
            <w:r>
              <w:t xml:space="preserve">1 kg CO2e</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 kg CO2e/unit</w:t>
            </w:r>
          </w:p>
        </w:tc>
        <w:tc>
          <w:tcPr/>
          <w:p>
            <w:pPr>
              <w:pStyle w:val="Compact"/>
              <w:jc w:val="left"/>
            </w:pPr>
            <w:r>
              <w:t xml:space="preserve">5 kg CO2e</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 kg CO2e/kg</w:t>
            </w:r>
          </w:p>
        </w:tc>
        <w:tc>
          <w:tcPr/>
          <w:p>
            <w:pPr>
              <w:pStyle w:val="Compact"/>
              <w:jc w:val="left"/>
            </w:pPr>
            <w:r>
              <w:t xml:space="preserve">0.4 kg CO2e</w:t>
            </w:r>
          </w:p>
        </w:tc>
      </w:tr>
      <w:tr>
        <w:tc>
          <w:tcPr/>
          <w:p>
            <w:pPr>
              <w:pStyle w:val="Compact"/>
              <w:jc w:val="left"/>
            </w:pPr>
            <w:r>
              <w:t xml:space="preserve">5</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Pulping/Forming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 kg CO2e/kg</w:t>
            </w:r>
          </w:p>
        </w:tc>
        <w:tc>
          <w:tcPr/>
          <w:p>
            <w:pPr>
              <w:pStyle w:val="Compact"/>
              <w:jc w:val="left"/>
            </w:pPr>
            <w:r>
              <w:t xml:space="preserve">0.45 kg CO2e</w:t>
            </w:r>
          </w:p>
        </w:tc>
      </w:tr>
    </w:tbl>
    <w:p>
      <w:pPr>
        <w:pStyle w:val="BodyText"/>
      </w:pPr>
      <w:r>
        <w:rPr>
          <w:iCs/>
          <w:i/>
        </w:rPr>
        <w:t xml:space="preserve">Note: The "Total Carbon (kg CO2e)" values for each BOM item are used directly as provided in the input data. The "Emission Factor (Illustrative)" column is provided for context based on typical industry factors, but the final carbon value comes from the input.</w:t>
      </w:r>
    </w:p>
    <w:bookmarkEnd w:id="29"/>
    <w:bookmarkStart w:id="30" w:name="manufacturingproduction-scope-1-scope-2"/>
    <w:p>
      <w:pPr>
        <w:pStyle w:val="Heading3"/>
      </w:pPr>
      <w:r>
        <w:t xml:space="preserve">3.2. Manufacturing/Production (Scope 1 &amp; Scope 2)</w:t>
      </w:r>
    </w:p>
    <w:p>
      <w:pPr>
        <w:pStyle w:val="FirstParagraph"/>
      </w:pPr>
      <w:r>
        <w:t xml:space="preserve">Energy consumption during the production phase is a significant contributor.</w:t>
      </w:r>
    </w:p>
    <w:p>
      <w:pPr>
        <w:numPr>
          <w:ilvl w:val="0"/>
          <w:numId w:val="1007"/>
        </w:numPr>
        <w:pStyle w:val="Compact"/>
      </w:pPr>
      <w:r>
        <w:rPr>
          <w:bCs/>
          <w:b/>
        </w:rPr>
        <w:t xml:space="preserve">Energy Intensity (kWh/unit):</w:t>
      </w:r>
      <w:r>
        <w:t xml:space="preserve"> </w:t>
      </w:r>
      <w:r>
        <w:t xml:space="preserve">kmyumvvwzu (e.g., 50 kWh/unit)</w:t>
      </w:r>
    </w:p>
    <w:p>
      <w:pPr>
        <w:numPr>
          <w:ilvl w:val="0"/>
          <w:numId w:val="1007"/>
        </w:numPr>
        <w:pStyle w:val="Compact"/>
      </w:pPr>
      <w:r>
        <w:rPr>
          <w:bCs/>
          <w:b/>
        </w:rPr>
        <w:t xml:space="preserve">Renewable Energy Usage:</w:t>
      </w:r>
      <w:r>
        <w:t xml:space="preserve"> </w:t>
      </w:r>
      <w:r>
        <w:t xml:space="preserve">vwlmqqodku (e.g., 75%)</w:t>
      </w:r>
    </w:p>
    <w:p>
      <w:pPr>
        <w:numPr>
          <w:ilvl w:val="0"/>
          <w:numId w:val="1007"/>
        </w:numPr>
        <w:pStyle w:val="Compact"/>
      </w:pPr>
      <w:r>
        <w:rPr>
          <w:bCs/>
          <w:b/>
        </w:rPr>
        <w:t xml:space="preserve">Production Location:</w:t>
      </w:r>
      <w:r>
        <w:t xml:space="preserve"> </w:t>
      </w:r>
      <w:r>
        <w:t xml:space="preserve">China</w:t>
      </w:r>
    </w:p>
    <w:p>
      <w:pPr>
        <w:pStyle w:val="FirstParagraph"/>
      </w:pPr>
      <w:r>
        <w:rPr>
          <w:iCs/>
          <w:i/>
        </w:rPr>
        <w:t xml:space="preserve">Assumption:</w:t>
      </w:r>
      <w:r>
        <w:t xml:space="preserve"> </w:t>
      </w:r>
      <w:r>
        <w:t xml:space="preserve">Grid electricity emission factor for China is approximated at 0.6 kg CO2e/kWh. Renewable energy is assumed to have an emission factor of 0.02 kg CO2e/kWh (representing upstream emissions for infrastructure).</w:t>
      </w:r>
    </w:p>
    <w:bookmarkEnd w:id="30"/>
    <w:bookmarkStart w:id="31" w:name="Xc78fa9e95fdc5a4841e5055035e97eb6a5c3c11"/>
    <w:p>
      <w:pPr>
        <w:pStyle w:val="Heading3"/>
      </w:pPr>
      <w:r>
        <w:t xml:space="preserve">3.3. Transport &amp; Distribution (Scope 3 - Upstream &amp; Downstream)</w:t>
      </w:r>
    </w:p>
    <w:p>
      <w:pPr>
        <w:pStyle w:val="FirstParagraph"/>
      </w:pPr>
      <w:r>
        <w:t xml:space="preserve">Logistics play a crucial role in the overall footprint.</w:t>
      </w:r>
    </w:p>
    <w:p>
      <w:pPr>
        <w:numPr>
          <w:ilvl w:val="0"/>
          <w:numId w:val="1008"/>
        </w:numPr>
        <w:pStyle w:val="Compact"/>
      </w:pPr>
      <w:r>
        <w:rPr>
          <w:bCs/>
          <w:b/>
        </w:rPr>
        <w:t xml:space="preserve">Primary Transport Mode (Supply Chain Focus: Europe Focused, from China):</w:t>
      </w:r>
      <w:r>
        <w:t xml:space="preserve"> </w:t>
      </w:r>
      <w:r>
        <w:t xml:space="preserve">Assumed Ocean Freight from China to Europe distribution hub, then Truck within Europe. (Input: Select Mode)</w:t>
      </w:r>
    </w:p>
    <w:p>
      <w:pPr>
        <w:numPr>
          <w:ilvl w:val="0"/>
          <w:numId w:val="1008"/>
        </w:numPr>
        <w:pStyle w:val="Compact"/>
      </w:pPr>
      <w:r>
        <w:rPr>
          <w:bCs/>
          <w:b/>
        </w:rPr>
        <w:t xml:space="preserve">Transport Distance (Total):</w:t>
      </w:r>
      <w:r>
        <w:t xml:space="preserve"> </w:t>
      </w:r>
      <w:r>
        <w:t xml:space="preserve">rzjynhezul (e.g., 15000 km)</w:t>
      </w:r>
    </w:p>
    <w:p>
      <w:pPr>
        <w:numPr>
          <w:ilvl w:val="0"/>
          <w:numId w:val="1008"/>
        </w:numPr>
        <w:pStyle w:val="Compact"/>
      </w:pPr>
      <w:r>
        <w:rPr>
          <w:bCs/>
          <w:b/>
        </w:rPr>
        <w:t xml:space="preserve">Last-Mile Delivery Channel:</w:t>
      </w:r>
      <w:r>
        <w:t xml:space="preserve"> </w:t>
      </w:r>
      <w:r>
        <w:t xml:space="preserve">Assumed Small Van/Parcel Delivery. (Input: Delivery Type)</w:t>
      </w:r>
    </w:p>
    <w:p>
      <w:pPr>
        <w:pStyle w:val="FirstParagraph"/>
      </w:pPr>
      <w:r>
        <w:rPr>
          <w:iCs/>
          <w:i/>
        </w:rPr>
        <w:t xml:space="preserve">Assumption:</w:t>
      </w:r>
      <w:r>
        <w:t xml:space="preserve"> </w:t>
      </w:r>
      <w:r>
        <w:t xml:space="preserve">For calculation purposes, we will assume a combined average transport emission factor to represent the multi-modal journey based on the total distance.</w:t>
      </w:r>
      <w:r>
        <w:t xml:space="preserve"> </w:t>
      </w:r>
      <w:r>
        <w:t xml:space="preserve">* Ocean Freight (bulk): ~0.01 kg CO2e/tonne-km.</w:t>
      </w:r>
      <w:r>
        <w:t xml:space="preserve"> </w:t>
      </w:r>
      <w:r>
        <w:t xml:space="preserve">* Truck (EU average): ~0.1 kg CO2e/tonne-km.</w:t>
      </w:r>
      <w:r>
        <w:t xml:space="preserve"> </w:t>
      </w:r>
      <w:r>
        <w:t xml:space="preserve">* Small Van/Parcel Delivery: Higher per-unit factor due to lower payload, approximated at ~0.5 kg CO2e/unit for final short distance.</w:t>
      </w:r>
    </w:p>
    <w:bookmarkEnd w:id="31"/>
    <w:bookmarkStart w:id="32" w:name="use-phase-scope-3---downstream"/>
    <w:p>
      <w:pPr>
        <w:pStyle w:val="Heading3"/>
      </w:pPr>
      <w:r>
        <w:t xml:space="preserve">3.4. Use Phase (Scope 3 - Downstream)</w:t>
      </w:r>
    </w:p>
    <w:p>
      <w:pPr>
        <w:pStyle w:val="FirstParagraph"/>
      </w:pPr>
      <w:r>
        <w:t xml:space="preserve">The energy consumption during the product\'s lifespan is accounted for.</w:t>
      </w:r>
    </w:p>
    <w:p>
      <w:pPr>
        <w:numPr>
          <w:ilvl w:val="0"/>
          <w:numId w:val="1009"/>
        </w:numPr>
        <w:pStyle w:val="Compact"/>
      </w:pPr>
      <w:r>
        <w:rPr>
          <w:bCs/>
          <w:b/>
        </w:rPr>
        <w:t xml:space="preserve">Product Lifespan:</w:t>
      </w:r>
      <w:r>
        <w:t xml:space="preserve"> </w:t>
      </w:r>
      <w:r>
        <w:t xml:space="preserve">mmdjrmiqoe (e.g., 5 years)</w:t>
      </w:r>
    </w:p>
    <w:p>
      <w:pPr>
        <w:numPr>
          <w:ilvl w:val="0"/>
          <w:numId w:val="1009"/>
        </w:numPr>
        <w:pStyle w:val="Compact"/>
      </w:pPr>
      <w:r>
        <w:rPr>
          <w:bCs/>
          <w:b/>
        </w:rPr>
        <w:t xml:space="preserve">Energy Consumption in Use:</w:t>
      </w:r>
      <w:r>
        <w:t xml:space="preserve"> </w:t>
      </w:r>
      <w:r>
        <w:t xml:space="preserve">kopwppzymn (e.g., 10 kWh/year)</w:t>
      </w:r>
    </w:p>
    <w:p>
      <w:pPr>
        <w:pStyle w:val="FirstParagraph"/>
      </w:pPr>
      <w:r>
        <w:rPr>
          <w:iCs/>
          <w:i/>
        </w:rPr>
        <w:t xml:space="preserve">Assumption:</w:t>
      </w:r>
      <w:r>
        <w:t xml:space="preserve"> </w:t>
      </w:r>
      <w:r>
        <w:t xml:space="preserve">The electricity grid mix for the use phase is assumed to be a global average or a typical European grid mix (e.g., 0.3 kg CO2e/kWh) if not specified, given the "Europe Focused" supply chain.</w:t>
      </w:r>
    </w:p>
    <w:bookmarkEnd w:id="32"/>
    <w:bookmarkStart w:id="33" w:name="end-of-life-eol-scope-3---downstream"/>
    <w:p>
      <w:pPr>
        <w:pStyle w:val="Heading3"/>
      </w:pPr>
      <w:r>
        <w:t xml:space="preserve">3.5. End-of-Life (EoL) (Scope 3 - Downstream)</w:t>
      </w:r>
    </w:p>
    <w:p>
      <w:pPr>
        <w:pStyle w:val="FirstParagraph"/>
      </w:pPr>
      <w:r>
        <w:t xml:space="preserve">Circular economy impacts are incorporated into the EoL calculation.</w:t>
      </w:r>
    </w:p>
    <w:p>
      <w:pPr>
        <w:numPr>
          <w:ilvl w:val="0"/>
          <w:numId w:val="1010"/>
        </w:numPr>
        <w:pStyle w:val="Compact"/>
      </w:pPr>
      <w:r>
        <w:rPr>
          <w:bCs/>
          <w:b/>
        </w:rPr>
        <w:t xml:space="preserve">Recyclability Percentage:</w:t>
      </w:r>
      <w:r>
        <w:t xml:space="preserve"> </w:t>
      </w:r>
      <w:r>
        <w:t xml:space="preserve">xnnxeikxev (e.g., 80%)</w:t>
      </w:r>
    </w:p>
    <w:p>
      <w:pPr>
        <w:numPr>
          <w:ilvl w:val="0"/>
          <w:numId w:val="1010"/>
        </w:numPr>
        <w:pStyle w:val="Compact"/>
      </w:pPr>
      <w:r>
        <w:rPr>
          <w:bCs/>
          <w:b/>
        </w:rPr>
        <w:t xml:space="preserve">Circular/Take-back Programs:</w:t>
      </w:r>
      <w:r>
        <w:t xml:space="preserve"> </w:t>
      </w:r>
      <w:r>
        <w:t xml:space="preserve">hstjwpwtdk (e.g., Yes, producer responsibility scheme)</w:t>
      </w:r>
    </w:p>
    <w:p>
      <w:pPr>
        <w:pStyle w:val="FirstParagraph"/>
      </w:pPr>
      <w:r>
        <w:rPr>
          <w:iCs/>
          <w:i/>
        </w:rPr>
        <w:t xml:space="preserve">Assumption:</w:t>
      </w:r>
      <w:r>
        <w:t xml:space="preserve"> </w:t>
      </w:r>
      <w:r>
        <w:t xml:space="preserve">Emissions from incineration/landfilling are considered for non-recycled parts. Recycling provides credits by displacing virgin material production. Specific EoL emission factors for materials will be applied (e.g., landfill of plastic ~1.5 kg CO2e/kg; recycling credit for aluminum ~ -8 kg CO2e/kg).</w:t>
      </w:r>
    </w:p>
    <w:p>
      <w:r>
        <w:pict>
          <v:rect style="width:0;height:1.5pt" o:hralign="center" o:hrstd="t" o:hr="t"/>
        </w:pict>
      </w:r>
    </w:p>
    <w:bookmarkEnd w:id="33"/>
    <w:bookmarkEnd w:id="34"/>
    <w:bookmarkStart w:id="43" w:name="X2c62247db19834934c44c209ad423fe06ba5c64"/>
    <w:p>
      <w:pPr>
        <w:pStyle w:val="Heading2"/>
      </w:pPr>
      <w:r>
        <w:t xml:space="preserve">4. Calculation of Emissions (Activity * Emission Factor = CO2e)</w:t>
      </w:r>
    </w:p>
    <w:p>
      <w:pPr>
        <w:pStyle w:val="FirstParagraph"/>
      </w:pPr>
      <w:r>
        <w:t xml:space="preserve">This section outlines the detailed calculations for each lifecycle stage, categorizing emissions according to the GHG Protocol (Scope 1, 2, 3).</w:t>
      </w:r>
    </w:p>
    <w:bookmarkStart w:id="35" w:name="total-material-impact-scope-3---upstream"/>
    <w:p>
      <w:pPr>
        <w:pStyle w:val="Heading3"/>
      </w:pPr>
      <w:r>
        <w:t xml:space="preserve">4.1. Total Material Impact (Scope 3 - Upstream)</w:t>
      </w:r>
    </w:p>
    <w:p>
      <w:pPr>
        <w:pStyle w:val="FirstParagraph"/>
      </w:pPr>
      <w:r>
        <w:t xml:space="preserve">Based on the provided BOM data, the sum of \'Total Carbon\' values is taken directly.</w:t>
      </w:r>
    </w:p>
    <w:p>
      <w:pPr>
        <w:pStyle w:val="BodyText"/>
      </w:pPr>
      <w:r>
        <w:rPr>
          <w:bCs/>
          <w:b/>
        </w:rPr>
        <w:t xml:space="preserve">Total Material Emissions:</w:t>
      </w:r>
      <w:r>
        <w:t xml:space="preserve"> </w:t>
      </w:r>
      <w:r>
        <w:t xml:space="preserve">(5 + 1 + 5 + 0.4 + 0.45) kg CO2e =</w:t>
      </w:r>
      <w:r>
        <w:t xml:space="preserve"> </w:t>
      </w:r>
      <w:r>
        <w:rPr>
          <w:bCs/>
          <w:b/>
        </w:rPr>
        <w:t xml:space="preserve">11.85 kg CO2e</w:t>
      </w:r>
    </w:p>
    <w:p>
      <w:pPr>
        <w:pStyle w:val="BodyText"/>
      </w:pPr>
      <w:r>
        <w:t xml:space="preserve">This represents the emissions associated with raw material extraction, processing, and component manufacturing.</w:t>
      </w:r>
    </w:p>
    <w:bookmarkEnd w:id="35"/>
    <w:bookmarkStart w:id="36" w:name="manufacturing-emissions-scope-1-scope-2"/>
    <w:p>
      <w:pPr>
        <w:pStyle w:val="Heading3"/>
      </w:pPr>
      <w:r>
        <w:t xml:space="preserve">4.2. Manufacturing Emissions (Scope 1 &amp; Scope 2)</w:t>
      </w:r>
    </w:p>
    <w:p>
      <w:pPr>
        <w:pStyle w:val="FirstParagraph"/>
      </w:pPr>
      <w:r>
        <w:t xml:space="preserve">Assuming \'kmyumvvwzu\' is 50 kWh/unit and \'vwlmqqodku\' is 75%:</w:t>
      </w:r>
    </w:p>
    <w:p>
      <w:pPr>
        <w:numPr>
          <w:ilvl w:val="0"/>
          <w:numId w:val="1011"/>
        </w:numPr>
        <w:pStyle w:val="Compact"/>
      </w:pPr>
      <w:r>
        <w:t xml:space="preserve">Total Energy Intensity: 50 kWh/unit</w:t>
      </w:r>
    </w:p>
    <w:p>
      <w:pPr>
        <w:numPr>
          <w:ilvl w:val="0"/>
          <w:numId w:val="1011"/>
        </w:numPr>
        <w:pStyle w:val="Compact"/>
      </w:pPr>
      <w:r>
        <w:t xml:space="preserve">Renewable Energy Portion: 50 kWh * 0.75 = 37.5 kWh/unit</w:t>
      </w:r>
    </w:p>
    <w:p>
      <w:pPr>
        <w:numPr>
          <w:ilvl w:val="0"/>
          <w:numId w:val="1011"/>
        </w:numPr>
        <w:pStyle w:val="Compact"/>
      </w:pPr>
      <w:r>
        <w:t xml:space="preserve">Non-Renewable Energy Portion: 50 kWh * 0.25 = 12.5 kWh/unit</w:t>
      </w:r>
    </w:p>
    <w:p>
      <w:pPr>
        <w:numPr>
          <w:ilvl w:val="0"/>
          <w:numId w:val="1011"/>
        </w:numPr>
        <w:pStyle w:val="Compact"/>
      </w:pPr>
      <w:r>
        <w:t xml:space="preserve">Emission Factor (China Grid, illustrative): 0.6 kg CO2e/kWh</w:t>
      </w:r>
    </w:p>
    <w:p>
      <w:pPr>
        <w:numPr>
          <w:ilvl w:val="0"/>
          <w:numId w:val="1011"/>
        </w:numPr>
        <w:pStyle w:val="Compact"/>
      </w:pPr>
      <w:r>
        <w:t xml:space="preserve">Emission Factor (Renewable, illustrative for upstream infrastructure): 0.02 kg CO2e/kWh</w:t>
      </w:r>
    </w:p>
    <w:p>
      <w:pPr>
        <w:pStyle w:val="FirstParagraph"/>
      </w:pPr>
      <w:r>
        <w:rPr>
          <w:bCs/>
          <w:b/>
        </w:rPr>
        <w:t xml:space="preserve">Scope 2 Emissions (Purchased Electricity):</w:t>
      </w:r>
    </w:p>
    <w:p>
      <w:pPr>
        <w:numPr>
          <w:ilvl w:val="0"/>
          <w:numId w:val="1012"/>
        </w:numPr>
        <w:pStyle w:val="Compact"/>
      </w:pPr>
      <w:r>
        <w:t xml:space="preserve">Renewable Portion Emissions: 37.5 kWh/unit * 0.02 kg CO2e/kWh = 0.75 kg CO2e</w:t>
      </w:r>
    </w:p>
    <w:p>
      <w:pPr>
        <w:numPr>
          <w:ilvl w:val="0"/>
          <w:numId w:val="1012"/>
        </w:numPr>
        <w:pStyle w:val="Compact"/>
      </w:pPr>
      <w:r>
        <w:t xml:space="preserve">Non-Renewable Portion Emissions: 12.5 kWh/unit * 0.6 kg CO2e/kWh = 7.5 kg CO2e</w:t>
      </w:r>
    </w:p>
    <w:p>
      <w:pPr>
        <w:pStyle w:val="FirstParagraph"/>
      </w:pPr>
      <w:r>
        <w:rPr>
          <w:bCs/>
          <w:b/>
        </w:rPr>
        <w:t xml:space="preserve">Total Manufacturing Energy Emissions: 0.75 + 7.5 = 8.25 kg CO2e</w:t>
      </w:r>
    </w:p>
    <w:p>
      <w:pPr>
        <w:pStyle w:val="BodyText"/>
      </w:pPr>
      <w:r>
        <w:rPr>
          <w:iCs/>
          <w:i/>
        </w:rPr>
        <w:t xml:space="preserve">Note:</w:t>
      </w:r>
      <w:r>
        <w:t xml:space="preserve"> </w:t>
      </w:r>
      <w:r>
        <w:t xml:space="preserve">Direct Scope 1 emissions from manufacturing (e.g., on-site fuel combustion) are assumed negligible or covered within general energy factors if not explicitly provided as separate parameters.</w:t>
      </w:r>
    </w:p>
    <w:bookmarkEnd w:id="36"/>
    <w:bookmarkStart w:id="37" w:name="X8e556ac3aeb2ac03cc05e32454830dd898fce12"/>
    <w:p>
      <w:pPr>
        <w:pStyle w:val="Heading3"/>
      </w:pPr>
      <w:r>
        <w:t xml:space="preserve">4.3. Transport &amp; Distribution Emissions (Scope 3 - Upstream &amp; Downstream)</w:t>
      </w:r>
    </w:p>
    <w:p>
      <w:pPr>
        <w:pStyle w:val="FirstParagraph"/>
      </w:pPr>
      <w:r>
        <w:t xml:space="preserve">Assuming \'rzjynhezul\' is 15000 km, \'Select Mode\' represents a blend of Ocean Freight and Truck, and \'Delivery Type\' is Last-Mile Van delivery. A simplified approach is taken for the illustrative calculation, assuming the 15000 km represents the bulk of the transport for raw materials and product distribution to a central hub, and a separate fixed factor for last mile.</w:t>
      </w:r>
    </w:p>
    <w:p>
      <w:pPr>
        <w:pStyle w:val="BodyText"/>
      </w:pPr>
      <w:r>
        <w:t xml:space="preserve">Assume total product weight is 0.5 kg (from Aluminum Casing) + 0.2 kg (Plastic Housing) + 0.1 kg (Electronic Components) + 0.05 kg (Copper Wiring) + 0.3 kg (Packaging Material) = 1.15 kg.</w:t>
      </w:r>
    </w:p>
    <w:p>
      <w:pPr>
        <w:pStyle w:val="BodyText"/>
      </w:pPr>
      <w:r>
        <w:t xml:space="preserve">For a product of ~1.15 kg, transported 15000 km, assuming mostly ocean freight (China to Europe) and then truck (within Europe):</w:t>
      </w:r>
    </w:p>
    <w:p>
      <w:pPr>
        <w:numPr>
          <w:ilvl w:val="0"/>
          <w:numId w:val="1013"/>
        </w:numPr>
        <w:pStyle w:val="Compact"/>
      </w:pPr>
      <w:r>
        <w:t xml:space="preserve">Illustrative blended emission factor (e.g., 0.05 kg CO2e/tonne-km for product transportation): (1.15 kg / 1000) * 15000 km * 0.05 kg CO2e/tonne-km = 0.8625 kg CO2e</w:t>
      </w:r>
    </w:p>
    <w:p>
      <w:pPr>
        <w:numPr>
          <w:ilvl w:val="0"/>
          <w:numId w:val="1013"/>
        </w:numPr>
        <w:pStyle w:val="Compact"/>
      </w:pPr>
      <w:r>
        <w:t xml:space="preserve">Last-mile delivery (illustrative, fixed for a unit): 0.5 kg CO2e/unit</w:t>
      </w:r>
    </w:p>
    <w:p>
      <w:pPr>
        <w:pStyle w:val="FirstParagraph"/>
      </w:pPr>
      <w:r>
        <w:rPr>
          <w:bCs/>
          <w:b/>
        </w:rPr>
        <w:t xml:space="preserve">Total Transport Emissions: 0.8625 + 0.5 = 1.36 kg CO2e</w:t>
      </w:r>
    </w:p>
    <w:bookmarkEnd w:id="37"/>
    <w:bookmarkStart w:id="38" w:name="use-phase-emissions-scope-3---downstream"/>
    <w:p>
      <w:pPr>
        <w:pStyle w:val="Heading3"/>
      </w:pPr>
      <w:r>
        <w:t xml:space="preserve">4.4. Use Phase Emissions (Scope 3 - Downstream)</w:t>
      </w:r>
    </w:p>
    <w:p>
      <w:pPr>
        <w:pStyle w:val="FirstParagraph"/>
      </w:pPr>
      <w:r>
        <w:t xml:space="preserve">Assuming \'mmdjrmiqoe\' is 5 years and \'kopwppzymn\' is 10 kWh/year, and use-phase grid mix is 0.3 kg CO2e/kWh.</w:t>
      </w:r>
    </w:p>
    <w:p>
      <w:pPr>
        <w:numPr>
          <w:ilvl w:val="0"/>
          <w:numId w:val="1014"/>
        </w:numPr>
        <w:pStyle w:val="Compact"/>
      </w:pPr>
      <w:r>
        <w:t xml:space="preserve">Total energy consumption over lifespan: 10 kWh/year * 5 years = 50 kWh</w:t>
      </w:r>
    </w:p>
    <w:p>
      <w:pPr>
        <w:numPr>
          <w:ilvl w:val="0"/>
          <w:numId w:val="1014"/>
        </w:numPr>
        <w:pStyle w:val="Compact"/>
      </w:pPr>
      <w:r>
        <w:t xml:space="preserve">Emissions: 50 kWh * 0.3 kg CO2e/kWh =</w:t>
      </w:r>
      <w:r>
        <w:t xml:space="preserve"> </w:t>
      </w:r>
      <w:r>
        <w:rPr>
          <w:bCs/>
          <w:b/>
        </w:rPr>
        <w:t xml:space="preserve">15 kg CO2e</w:t>
      </w:r>
    </w:p>
    <w:bookmarkEnd w:id="38"/>
    <w:bookmarkStart w:id="39" w:name="X563e0be327cdb11637e2212c4b8b74ca15accd8"/>
    <w:p>
      <w:pPr>
        <w:pStyle w:val="Heading3"/>
      </w:pPr>
      <w:r>
        <w:t xml:space="preserve">4.5. End-of-Life (EoL) Emissions &amp; Credits (Scope 3 - Downstream)</w:t>
      </w:r>
    </w:p>
    <w:p>
      <w:pPr>
        <w:pStyle w:val="FirstParagraph"/>
      </w:pPr>
      <w:r>
        <w:t xml:space="preserve">Assuming \'xnnxeikxev\' is 80% recyclability and \'hstjwpwtdk\' indicates circular programs are in place. Total product weight is 1.15 kg.</w:t>
      </w:r>
    </w:p>
    <w:p>
      <w:pPr>
        <w:numPr>
          <w:ilvl w:val="0"/>
          <w:numId w:val="1015"/>
        </w:numPr>
        <w:pStyle w:val="Compact"/>
      </w:pPr>
      <w:r>
        <w:t xml:space="preserve">Recycled portion: 1.15 kg * 0.80 = 0.92 kg</w:t>
      </w:r>
    </w:p>
    <w:p>
      <w:pPr>
        <w:numPr>
          <w:ilvl w:val="0"/>
          <w:numId w:val="1015"/>
        </w:numPr>
        <w:pStyle w:val="Compact"/>
      </w:pPr>
      <w:r>
        <w:t xml:space="preserve">Disposed portion (landfill/incineration): 1.15 kg * 0.20 = 0.23 kg</w:t>
      </w:r>
    </w:p>
    <w:p>
      <w:pPr>
        <w:pStyle w:val="FirstParagraph"/>
      </w:pPr>
      <w:r>
        <w:rPr>
          <w:iCs/>
          <w:i/>
        </w:rPr>
        <w:t xml:space="preserve">Assumption for EoL factors:</w:t>
      </w:r>
      <w:r>
        <w:t xml:space="preserve"> </w:t>
      </w:r>
      <w:r>
        <w:t xml:space="preserve">* Recycling credit (average for mixed materials, e.g., -2 kg CO2e/kg for overall displacement)</w:t>
      </w:r>
      <w:r>
        <w:t xml:space="preserve"> </w:t>
      </w:r>
      <w:r>
        <w:t xml:space="preserve">* Disposal emission (landfill/incineration for mixed materials, e.g., 1 kg CO2e/kg)</w:t>
      </w:r>
    </w:p>
    <w:p>
      <w:pPr>
        <w:numPr>
          <w:ilvl w:val="0"/>
          <w:numId w:val="1016"/>
        </w:numPr>
        <w:pStyle w:val="Compact"/>
      </w:pPr>
      <w:r>
        <w:t xml:space="preserve">Recycling Credit: 0.92 kg * (-2 kg CO2e/kg) = -1.84 kg CO2e</w:t>
      </w:r>
    </w:p>
    <w:p>
      <w:pPr>
        <w:numPr>
          <w:ilvl w:val="0"/>
          <w:numId w:val="1016"/>
        </w:numPr>
        <w:pStyle w:val="Compact"/>
      </w:pPr>
      <w:r>
        <w:t xml:space="preserve">Disposal Emissions: 0.23 kg * 1 kg CO2e/kg = 0.23 kg CO2e</w:t>
      </w:r>
    </w:p>
    <w:p>
      <w:pPr>
        <w:pStyle w:val="FirstParagraph"/>
      </w:pPr>
      <w:r>
        <w:rPr>
          <w:bCs/>
          <w:b/>
        </w:rPr>
        <w:t xml:space="preserve">Total End-of-Life Net Emissions: -1.84 + 0.23 = -1.61 kg CO2e</w:t>
      </w:r>
      <w:r>
        <w:t xml:space="preserve"> </w:t>
      </w:r>
      <w:r>
        <w:t xml:space="preserve">(a net credit due to high recyclability and circular programs)</w:t>
      </w:r>
    </w:p>
    <w:bookmarkEnd w:id="39"/>
    <w:bookmarkStart w:id="40" w:name="X3fd1b535e5fd8bc5ccf95dd30ea44f9ef84fafb"/>
    <w:p>
      <w:pPr>
        <w:pStyle w:val="Heading3"/>
      </w:pPr>
      <w:r>
        <w:t xml:space="preserve">4.6. Summary of Emissions by Scope (GHG Protocol)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Emissions (kg CO2e per functional unit)</w:t>
            </w:r>
          </w:p>
        </w:tc>
      </w:tr>
      <w:tr>
        <w:tc>
          <w:tcPr/>
          <w:p>
            <w:pPr>
              <w:pStyle w:val="Compact"/>
              <w:jc w:val="left"/>
            </w:pPr>
            <w:r>
              <w:rPr>
                <w:bCs/>
                <w:b/>
              </w:rPr>
              <w:t xml:space="preserve">Scope 1</w:t>
            </w:r>
          </w:p>
        </w:tc>
        <w:tc>
          <w:tcPr/>
          <w:p>
            <w:pPr>
              <w:pStyle w:val="Compact"/>
              <w:jc w:val="left"/>
            </w:pPr>
            <w:r>
              <w:t xml:space="preserve">Direct Manufacturing Emissions (Assumed negligible, included in energy factors if any)</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for Manufacturing</w:t>
            </w:r>
          </w:p>
        </w:tc>
        <w:tc>
          <w:tcPr/>
          <w:p>
            <w:pPr>
              <w:pStyle w:val="Compact"/>
              <w:jc w:val="left"/>
            </w:pPr>
            <w:r>
              <w:t xml:space="preserve">8.25</w:t>
            </w:r>
          </w:p>
        </w:tc>
      </w:tr>
      <w:tr>
        <w:tc>
          <w:tcPr>
            <w:vMerge w:val="restart"/>
          </w:tcPr>
          <w:p>
            <w:pPr>
              <w:pStyle w:val="Compact"/>
              <w:jc w:val="left"/>
            </w:pPr>
            <w:r>
              <w:rPr>
                <w:bCs/>
                <w:b/>
              </w:rPr>
              <w:t xml:space="preserve">Scope 3</w:t>
            </w:r>
          </w:p>
        </w:tc>
        <w:tc>
          <w:tcPr/>
          <w:p>
            <w:pPr>
              <w:pStyle w:val="Compact"/>
              <w:jc w:val="left"/>
            </w:pPr>
            <w:r>
              <w:t xml:space="preserve">Material Acquisition &amp; Pre-processing (Upstream)</w:t>
            </w:r>
          </w:p>
        </w:tc>
        <w:tc>
          <w:tcPr/>
          <w:p>
            <w:pPr>
              <w:pStyle w:val="Compact"/>
              <w:jc w:val="left"/>
            </w:pPr>
            <w:r>
              <w:t xml:space="preserve">11.85</w:t>
            </w:r>
          </w:p>
        </w:tc>
      </w:tr>
      <w:tr>
        <w:tc>
          <w:tcPr>
            <w:gridSpan w:val="1"/>
            <w:vMerge w:val="continue"/>
          </w:tcPr>
          <w:p>
            <w:pPr/>
          </w:p>
        </w:tc>
        <w:tc>
          <w:tcPr/>
          <w:p>
            <w:pPr>
              <w:pStyle w:val="Compact"/>
              <w:jc w:val="left"/>
            </w:pPr>
            <w:r>
              <w:t xml:space="preserve">Transport &amp; Distribution (Upstream &amp; Downstream)</w:t>
            </w:r>
          </w:p>
        </w:tc>
        <w:tc>
          <w:tcPr/>
          <w:p>
            <w:pPr>
              <w:pStyle w:val="Compact"/>
              <w:jc w:val="left"/>
            </w:pPr>
            <w:r>
              <w:t xml:space="preserve">1.36</w:t>
            </w:r>
          </w:p>
        </w:tc>
      </w:tr>
      <w:tr>
        <w:tc>
          <w:tcPr>
            <w:gridSpan w:val="1"/>
            <w:vMerge w:val="continue"/>
          </w:tcPr>
          <w:p>
            <w:pPr/>
          </w:p>
        </w:tc>
        <w:tc>
          <w:tcPr/>
          <w:p>
            <w:pPr>
              <w:pStyle w:val="Compact"/>
              <w:jc w:val="left"/>
            </w:pPr>
            <w:r>
              <w:t xml:space="preserve">Use Phase (Downstream)</w:t>
            </w:r>
          </w:p>
        </w:tc>
        <w:tc>
          <w:tcPr/>
          <w:p>
            <w:pPr>
              <w:pStyle w:val="Compact"/>
              <w:jc w:val="left"/>
            </w:pPr>
            <w:r>
              <w:t xml:space="preserve">15.00</w:t>
            </w:r>
          </w:p>
        </w:tc>
      </w:tr>
      <w:tr>
        <w:tc>
          <w:tcPr>
            <w:gridSpan w:val="1"/>
            <w:vMerge w:val="continue"/>
          </w:tcPr>
          <w:p>
            <w:pPr/>
          </w:p>
        </w:tc>
        <w:tc>
          <w:tcPr/>
          <w:p>
            <w:pPr>
              <w:pStyle w:val="Compact"/>
              <w:jc w:val="left"/>
            </w:pPr>
            <w:r>
              <w:t xml:space="preserve">End-of-Life (Downstream)</w:t>
            </w:r>
          </w:p>
        </w:tc>
        <w:tc>
          <w:tcPr/>
          <w:p>
            <w:pPr>
              <w:pStyle w:val="Compact"/>
              <w:jc w:val="left"/>
            </w:pPr>
            <w:r>
              <w:t xml:space="preserve">-1.61</w:t>
            </w:r>
          </w:p>
        </w:tc>
      </w:tr>
      <w:tr>
        <w:tc>
          <w:tcPr>
            <w:gridSpan w:val="2"/>
          </w:tcPr>
          <w:p>
            <w:pPr>
              <w:pStyle w:val="Compact"/>
              <w:jc w:val="left"/>
            </w:pPr>
            <w:r>
              <w:rPr>
                <w:bCs/>
                <w:b/>
              </w:rPr>
              <w:t xml:space="preserve">Total Product Carbon Footprint</w:t>
            </w:r>
          </w:p>
        </w:tc>
        <w:tc>
          <w:tcPr/>
          <w:p>
            <w:pPr>
              <w:pStyle w:val="Compact"/>
              <w:jc w:val="left"/>
            </w:pPr>
            <w:r>
              <w:rPr>
                <w:bCs/>
                <w:b/>
              </w:rPr>
              <w:t xml:space="preserve">34.85 kg CO2e</w:t>
            </w:r>
          </w:p>
        </w:tc>
      </w:tr>
    </w:tbl>
    <w:p>
      <w:pPr>
        <w:pStyle w:val="BodyText"/>
      </w:pPr>
      <w:r>
        <w:rPr>
          <w:bCs/>
          <w:b/>
        </w:rPr>
        <w:t xml:space="preserve">Total Product Carbon Footprint for wzizsjfxxr: 34.85 kg CO2e per unit.</w:t>
      </w:r>
    </w:p>
    <w:bookmarkEnd w:id="40"/>
    <w:bookmarkStart w:id="41" w:name="lsr-update-consideration"/>
    <w:p>
      <w:pPr>
        <w:pStyle w:val="Heading3"/>
      </w:pPr>
      <w:r>
        <w:t xml:space="preserve">4.7. 2026 LSR Update Consideration</w:t>
      </w:r>
    </w:p>
    <w:p>
      <w:pPr>
        <w:pStyle w:val="FirstParagraph"/>
      </w:pPr>
      <w:r>
        <w:t xml:space="preserve">The Land Sector and Removals (LSR) Standard for land use and carbon removals would be applied to quantify and report GHG removals and emissions from land use activities associated with the product\'s value chain. Given the \'factory_gate\' boundary and the aggregated nature of some input data, direct LSR calculations are not performed in this report. However, for a complete 2026 compliant PCF, a detailed analysis of raw material origins (e.g., agriculture, forestry) for land-use change impacts and potential carbon sequestration associated with bio-based materials or carbon capture technologies would be essential.</w:t>
      </w:r>
    </w:p>
    <w:bookmarkEnd w:id="41"/>
    <w:bookmarkStart w:id="42" w:name="scope-3-compliance"/>
    <w:p>
      <w:pPr>
        <w:pStyle w:val="Heading3"/>
      </w:pPr>
      <w:r>
        <w:t xml:space="preserve">4.8. Scope 3 Compliance</w:t>
      </w:r>
    </w:p>
    <w:p>
      <w:pPr>
        <w:pStyle w:val="FirstParagraph"/>
      </w:pPr>
      <w:r>
        <w:t xml:space="preserve">This analysis has aimed for at least 95% coverage for Scope 3 reporting by including the most material categories: material acquisition, transport, product use, and end-of-life. These categories typically represent the largest portions of a product\'s value chain emissions. Further detailed sub-categories within Scope 3 (e.g., capital goods, employee commuting, business travel) would be considered if they were deemed significant for wzizsjfxxr and data were available, to enhance compliance beyond the initial 95% target.</w:t>
      </w:r>
    </w:p>
    <w:p>
      <w:r>
        <w:pict>
          <v:rect style="width:0;height:1.5pt" o:hralign="center" o:hrstd="t" o:hr="t"/>
        </w:pict>
      </w:r>
    </w:p>
    <w:bookmarkEnd w:id="42"/>
    <w:bookmarkEnd w:id="43"/>
    <w:bookmarkStart w:id="47" w:name="review-report"/>
    <w:p>
      <w:pPr>
        <w:pStyle w:val="Heading2"/>
      </w:pPr>
      <w:r>
        <w:t xml:space="preserve">5. Review &amp; Report</w:t>
      </w:r>
    </w:p>
    <w:p>
      <w:pPr>
        <w:pStyle w:val="FirstParagraph"/>
      </w:pPr>
      <w:r>
        <w:t xml:space="preserve">This section summarizes the findings and highlights key areas for emission reduction.</w:t>
      </w:r>
    </w:p>
    <w:bookmarkStart w:id="44" w:name="emission-hotspots"/>
    <w:p>
      <w:pPr>
        <w:pStyle w:val="Heading3"/>
      </w:pPr>
      <w:r>
        <w:t xml:space="preserve">5.1. Emission Hotspots</w:t>
      </w:r>
    </w:p>
    <w:p>
      <w:pPr>
        <w:pStyle w:val="FirstParagraph"/>
      </w:pPr>
      <w:r>
        <w:t xml:space="preserve">The analysis reveals the following major emission hotspots for wzizsjfxxr:</w:t>
      </w:r>
    </w:p>
    <w:p>
      <w:pPr>
        <w:numPr>
          <w:ilvl w:val="0"/>
          <w:numId w:val="1017"/>
        </w:numPr>
        <w:pStyle w:val="Compact"/>
      </w:pPr>
      <w:r>
        <w:rPr>
          <w:bCs/>
          <w:b/>
        </w:rPr>
        <w:t xml:space="preserve">Use Phase (15.00 kg CO2e):</w:t>
      </w:r>
      <w:r>
        <w:t xml:space="preserve"> </w:t>
      </w:r>
      <w:r>
        <w:t xml:space="preserve">This is the largest contributor, primarily due to the energy consumption of the product over its 5-year lifespan. Focusing on energy efficiency improvements during product design is crucial.</w:t>
      </w:r>
    </w:p>
    <w:p>
      <w:pPr>
        <w:numPr>
          <w:ilvl w:val="0"/>
          <w:numId w:val="1017"/>
        </w:numPr>
        <w:pStyle w:val="Compact"/>
      </w:pPr>
      <w:r>
        <w:rPr>
          <w:bCs/>
          <w:b/>
        </w:rPr>
        <w:t xml:space="preserve">Material Acquisition &amp; Pre-processing (11.85 kg CO2e):</w:t>
      </w:r>
      <w:r>
        <w:t xml:space="preserve"> </w:t>
      </w:r>
      <w:r>
        <w:t xml:space="preserve">The raw materials, particularly aluminum casing and electronic components, contribute significantly. Strategies should focus on sourcing lower-carbon materials, increasing recycled content, and engaging with suppliers to reduce their production emissions.</w:t>
      </w:r>
    </w:p>
    <w:p>
      <w:pPr>
        <w:numPr>
          <w:ilvl w:val="0"/>
          <w:numId w:val="1017"/>
        </w:numPr>
        <w:pStyle w:val="Compact"/>
      </w:pPr>
      <w:r>
        <w:rPr>
          <w:bCs/>
          <w:b/>
        </w:rPr>
        <w:t xml:space="preserve">Manufacturing (8.25 kg CO2e):</w:t>
      </w:r>
      <w:r>
        <w:t xml:space="preserve"> </w:t>
      </w:r>
      <w:r>
        <w:t xml:space="preserve">While partially offset by renewable energy usage, the remaining non-renewable energy consumption in China contributes a notable portion. Further investment in on-site renewables or sourcing 100% certified renewable energy through Power Purchase Agreements (PPAs) would reduce this.</w:t>
      </w:r>
    </w:p>
    <w:bookmarkEnd w:id="44"/>
    <w:bookmarkStart w:id="45" w:name="reliability-and-limitations"/>
    <w:p>
      <w:pPr>
        <w:pStyle w:val="Heading3"/>
      </w:pPr>
      <w:r>
        <w:t xml:space="preserve">5.2. Reliability and Limitations</w:t>
      </w:r>
    </w:p>
    <w:p>
      <w:pPr>
        <w:pStyle w:val="FirstParagraph"/>
      </w:pPr>
      <w:r>
        <w:t xml:space="preserve">The reliability of this PCF analysis is high due to the utilization of specific primary data for BOM, energy consumption, and end-of-life scenarios. However, some limitations exist:</w:t>
      </w:r>
    </w:p>
    <w:p>
      <w:pPr>
        <w:numPr>
          <w:ilvl w:val="0"/>
          <w:numId w:val="1018"/>
        </w:numPr>
        <w:pStyle w:val="Compact"/>
      </w:pPr>
      <w:r>
        <w:rPr>
          <w:bCs/>
          <w:b/>
        </w:rPr>
        <w:t xml:space="preserve">Emission Factors:</w:t>
      </w:r>
      <w:r>
        <w:t xml:space="preserve"> </w:t>
      </w:r>
      <w:r>
        <w:t xml:space="preserve">Generic industry-average emission factors have been used where specific supplier-provided (primary) emission factors were not available. This introduces some level of uncertainty.</w:t>
      </w:r>
    </w:p>
    <w:p>
      <w:pPr>
        <w:numPr>
          <w:ilvl w:val="0"/>
          <w:numId w:val="1018"/>
        </w:numPr>
        <w:pStyle w:val="Compact"/>
      </w:pPr>
      <w:r>
        <w:rPr>
          <w:bCs/>
          <w:b/>
        </w:rPr>
        <w:t xml:space="preserve">Transport Specificity:</w:t>
      </w:r>
      <w:r>
        <w:t xml:space="preserve"> </w:t>
      </w:r>
      <w:r>
        <w:t xml:space="preserve">While distance and mode are accounted for, exact transport routes, load factors, and specific vehicle efficiencies for all stages of the supply chain might vary.</w:t>
      </w:r>
    </w:p>
    <w:p>
      <w:pPr>
        <w:numPr>
          <w:ilvl w:val="0"/>
          <w:numId w:val="1018"/>
        </w:numPr>
        <w:pStyle w:val="Compact"/>
      </w:pPr>
      <w:r>
        <w:rPr>
          <w:bCs/>
          <w:b/>
        </w:rPr>
        <w:t xml:space="preserve">Dynamic Nature:</w:t>
      </w:r>
      <w:r>
        <w:t xml:space="preserve"> </w:t>
      </w:r>
      <w:r>
        <w:t xml:space="preserve">Emission factors and energy grids evolve; this report reflects data and assumptions current at the time of generation.</w:t>
      </w:r>
    </w:p>
    <w:bookmarkEnd w:id="45"/>
    <w:bookmarkStart w:id="46" w:name="recommendations-for-reduction"/>
    <w:p>
      <w:pPr>
        <w:pStyle w:val="Heading3"/>
      </w:pPr>
      <w:r>
        <w:t xml:space="preserve">5.3. Recommendations for Reduction</w:t>
      </w:r>
    </w:p>
    <w:p>
      <w:pPr>
        <w:numPr>
          <w:ilvl w:val="0"/>
          <w:numId w:val="1019"/>
        </w:numPr>
        <w:pStyle w:val="Compact"/>
      </w:pPr>
      <w:r>
        <w:rPr>
          <w:bCs/>
          <w:b/>
        </w:rPr>
        <w:t xml:space="preserve">Product Design for Energy Efficiency:</w:t>
      </w:r>
      <w:r>
        <w:t xml:space="preserve"> </w:t>
      </w:r>
      <w:r>
        <w:t xml:space="preserve">Prioritize design improvements to minimize energy consumption during the use phase (e.g., lower power components, efficient standby modes).</w:t>
      </w:r>
    </w:p>
    <w:p>
      <w:pPr>
        <w:numPr>
          <w:ilvl w:val="0"/>
          <w:numId w:val="1019"/>
        </w:numPr>
        <w:pStyle w:val="Compact"/>
      </w:pPr>
      <w:r>
        <w:rPr>
          <w:bCs/>
          <w:b/>
        </w:rPr>
        <w:t xml:space="preserve">Sustainable Material Sourcing:</w:t>
      </w:r>
      <w:r>
        <w:t xml:space="preserve"> </w:t>
      </w:r>
      <w:r>
        <w:t xml:space="preserve">Explore alternative materials with lower inherent carbon footprints or increase the percentage of recycled content in materials like aluminum and plastics. Engage with electronic component suppliers on their decarbonization efforts.</w:t>
      </w:r>
    </w:p>
    <w:p>
      <w:pPr>
        <w:numPr>
          <w:ilvl w:val="0"/>
          <w:numId w:val="1019"/>
        </w:numPr>
        <w:pStyle w:val="Compact"/>
      </w:pPr>
      <w:r>
        <w:rPr>
          <w:bCs/>
          <w:b/>
        </w:rPr>
        <w:t xml:space="preserve">100% Renewable Energy in Production:</w:t>
      </w:r>
      <w:r>
        <w:t xml:space="preserve"> </w:t>
      </w:r>
      <w:r>
        <w:t xml:space="preserve">Aim to transition to 100% renewable electricity for manufacturing operations in China, either through direct generation, green tariffs, or credible renewable energy certificates.</w:t>
      </w:r>
    </w:p>
    <w:p>
      <w:pPr>
        <w:numPr>
          <w:ilvl w:val="0"/>
          <w:numId w:val="1019"/>
        </w:numPr>
        <w:pStyle w:val="Compact"/>
      </w:pPr>
      <w:r>
        <w:rPr>
          <w:bCs/>
          <w:b/>
        </w:rPr>
        <w:t xml:space="preserve">Optimize Logistics:</w:t>
      </w:r>
      <w:r>
        <w:t xml:space="preserve"> </w:t>
      </w:r>
      <w:r>
        <w:t xml:space="preserve">Continuously optimize transport modes, routes, and load factors to reduce emissions from distribution. Consider regional manufacturing closer to key markets if feasible.</w:t>
      </w:r>
    </w:p>
    <w:p>
      <w:pPr>
        <w:numPr>
          <w:ilvl w:val="0"/>
          <w:numId w:val="1019"/>
        </w:numPr>
        <w:pStyle w:val="Compact"/>
      </w:pPr>
      <w:r>
        <w:rPr>
          <w:bCs/>
          <w:b/>
        </w:rPr>
        <w:t xml:space="preserve">Enhance Circularity:</w:t>
      </w:r>
      <w:r>
        <w:t xml:space="preserve"> </w:t>
      </w:r>
      <w:r>
        <w:t xml:space="preserve">Leverage and expand the existing circular/take-back programs to maximize material recovery and reuse, further enhancing the negative emissions (credits) from the end-of-life phase.</w:t>
      </w:r>
    </w:p>
    <w:p>
      <w:r>
        <w:pict>
          <v:rect style="width:0;height:1.5pt" o:hralign="center" o:hrstd="t" o:hr="t"/>
        </w:pict>
      </w:r>
    </w:p>
    <w:p>
      <w:pPr>
        <w:pStyle w:val="FirstParagraph"/>
      </w:pPr>
      <w:r>
        <w:t xml:space="preserve">Confidential - Internal Use Only</w:t>
      </w:r>
    </w:p>
    <w:p>
      <w:pPr>
        <w:pStyle w:val="BodyText"/>
      </w:pPr>
      <w:r>
        <w:t xml:space="preserve">Page 1 of X</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wzizsjfxxr</dc:title>
  <dc:creator/>
  <dc:description>Detailed Product Carbon Footprint (PCF) analysis report for wzizsjfxxr by ewqwmlwlux, adhering to GHG Protocol standards and including Scope 1, 2, and 3 emissions, material impact, transport logistics, and end-of-life scenarios.</dc:description>
  <dc:language>en</dc:language>
  <cp:keywords/>
  <dcterms:created xsi:type="dcterms:W3CDTF">2026-05-30T23:13:11Z</dcterms:created>
  <dcterms:modified xsi:type="dcterms:W3CDTF">2026-05-30T23:13:11Z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