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wzdfkvfwwu</w:t>
      </w:r>
    </w:p>
    <w:p>
      <w:pPr>
        <w:pStyle w:val="FirstParagraph"/>
      </w:pPr>
      <w:r>
        <w:t xml:space="preserve">carboncalcpcf.com</w:t>
      </w:r>
    </w:p>
    <w:p>
      <w:pPr>
        <w:pStyle w:val="BodyText"/>
      </w:pPr>
      <w:r>
        <w:t xml:space="preserve">Product Carbon Footprint Analysis Report</w:t>
      </w:r>
    </w:p>
    <w:bookmarkStart w:id="20" w:name="wzdfkvfwwu"/>
    <w:p>
      <w:pPr>
        <w:pStyle w:val="Heading1"/>
      </w:pPr>
      <w:r>
        <w:t xml:space="preserve">wzdfkvfwwu</w:t>
      </w:r>
    </w:p>
    <w:p>
      <w:pPr>
        <w:pStyle w:val="FirstParagraph"/>
      </w:pPr>
      <w:r>
        <w:rPr>
          <w:bCs/>
          <w:b/>
        </w:rPr>
        <w:t xml:space="preserve">Company Name:</w:t>
      </w:r>
      <w:r>
        <w:t xml:space="preserve"> </w:t>
      </w:r>
      <w:r>
        <w:t xml:space="preserve">hwsxeysxve</w:t>
      </w:r>
    </w:p>
    <w:p>
      <w:pPr>
        <w:pStyle w:val="BodyText"/>
      </w:pPr>
      <w:r>
        <w:rPr>
          <w:bCs/>
          <w:b/>
        </w:rPr>
        <w:t xml:space="preserve">Senior Sustainability Consultant:</w:t>
      </w:r>
      <w:r>
        <w:t xml:space="preserve"> </w:t>
      </w:r>
      <w:r>
        <w:t xml:space="preserve">nfwtjpkdxd</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estimate of the product\'s carbon footprint.</w:t>
      </w:r>
    </w:p>
    <w:bookmarkEnd w:id="20"/>
    <w:bookmarkStart w:id="21" w:name="product-carbon-footprint-report"/>
    <w:p>
      <w:pPr>
        <w:pStyle w:val="Heading1"/>
      </w:pPr>
      <w:r>
        <w:t xml:space="preserve">Product Carbon Footprint Report</w:t>
      </w:r>
    </w:p>
    <w:p>
      <w:pPr>
        <w:pStyle w:val="FirstParagraph"/>
      </w:pPr>
      <w:r>
        <w:t xml:space="preserve">Generated Date: May 24,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wzdfkvfwwu</w:t>
      </w:r>
      <w:r>
        <w:t xml:space="preserve">, manufactured by</w:t>
      </w:r>
      <w:r>
        <w:t xml:space="preserve"> </w:t>
      </w:r>
      <w:r>
        <w:rPr>
          <w:bCs/>
          <w:b/>
        </w:rPr>
        <w:t xml:space="preserve">hwsxeysxve</w:t>
      </w:r>
      <w:r>
        <w:t xml:space="preserve">. Conducted by</w:t>
      </w:r>
      <w:r>
        <w:t xml:space="preserve"> </w:t>
      </w:r>
      <w:r>
        <w:rPr>
          <w:bCs/>
          <w:b/>
        </w:rPr>
        <w:t xml:space="preserve">nfwtjpkdxd</w:t>
      </w:r>
      <w:r>
        <w:t xml:space="preserve">, Senior Sustainability Consultant, this analysis adheres strictly to the GHG Protocol, including the 2026 Land Sector and Removals (LSR) Standard and ensuring at least 95% Scope 3 coverage. The objective is to quantify the greenhouse gas emissions associated with the product\'s lifecycle, identify key emission hotspots, and provide a basis for targeted decarbonization strategies.</w:t>
      </w:r>
    </w:p>
    <w:p>
      <w:pPr>
        <w:pStyle w:val="BodyText"/>
      </w:pPr>
      <w:r>
        <w:t xml:space="preserve">The PCF was calculated using a \'factory_gate\' system boundary, focusing on the supply chain in Europe and final production in China. Detailed material, energy, logistics, and end-of-life data, as provided, have been incorporated to ensure accuracy. The total carbon footprint for wzdfkvfwwu is an aggregate of emissions across raw material acquisition, manufacturing, transportation, use, and end-of-life phases, categorized into Scope 1, Scope 2, and Scope 3 emissions in line with GHG Protocol requirements.</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wzdfkvfwwu</w:t>
      </w:r>
      <w:r>
        <w:t xml:space="preserve"> </w:t>
      </w:r>
      <w:r>
        <w:t xml:space="preserve">follows a systematic approach based on the GHG Protocol Product Standard, incorporating the latest 2026 LSR Update and ensuring comprehensive Scope 3 coverage. The methodology comprises five key steps: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define-scope"/>
    <w:p>
      <w:pPr>
        <w:pStyle w:val="Heading3"/>
      </w:pPr>
      <w:r>
        <w:t xml:space="preserve">1.1. Define Scope</w:t>
      </w:r>
    </w:p>
    <w:p>
      <w:pPr>
        <w:numPr>
          <w:ilvl w:val="0"/>
          <w:numId w:val="1002"/>
        </w:numPr>
        <w:pStyle w:val="Compact"/>
      </w:pPr>
      <w:r>
        <w:rPr>
          <w:bCs/>
          <w:b/>
        </w:rPr>
        <w:t xml:space="preserve">Functional Unit:</w:t>
      </w:r>
      <w:r>
        <w:t xml:space="preserve"> </w:t>
      </w:r>
      <w:r>
        <w:t xml:space="preserve">The analysis is based on a functional unit of</w:t>
      </w:r>
      <w:r>
        <w:t xml:space="preserve"> </w:t>
      </w:r>
      <w:r>
        <w:rPr>
          <w:bCs/>
          <w:b/>
        </w:rPr>
        <w:t xml:space="preserve">1.0 unit</w:t>
      </w:r>
      <w:r>
        <w:t xml:space="preserve"> </w:t>
      </w:r>
      <w:r>
        <w:t xml:space="preserve">of</w:t>
      </w:r>
      <w:r>
        <w:t xml:space="preserve"> </w:t>
      </w:r>
      <w:r>
        <w:rPr>
          <w:bCs/>
          <w:b/>
        </w:rPr>
        <w:t xml:space="preserve">wzdfkvfwwu</w:t>
      </w:r>
      <w:r>
        <w:t xml:space="preserve">. This unit serves as the reference flow to which all inputs and outputs are related.</w:t>
      </w:r>
    </w:p>
    <w:p>
      <w:pPr>
        <w:numPr>
          <w:ilvl w:val="0"/>
          <w:numId w:val="1002"/>
        </w:numPr>
        <w:pStyle w:val="Compact"/>
      </w:pPr>
      <w:r>
        <w:rPr>
          <w:bCs/>
          <w:b/>
        </w:rPr>
        <w:t xml:space="preserve">System Boundary:</w:t>
      </w:r>
      <w:r>
        <w:t xml:space="preserve"> </w:t>
      </w:r>
      <w:r>
        <w:t xml:space="preserve">The defined system boundary for this PCF is</w:t>
      </w:r>
      <w:r>
        <w:t xml:space="preserve"> </w:t>
      </w:r>
      <w:r>
        <w:rPr>
          <w:bCs/>
          <w:b/>
        </w:rPr>
        <w:t xml:space="preserve">factory_gate</w:t>
      </w:r>
      <w:r>
        <w:t xml:space="preserve">. This includes emissions from raw material extraction, processing, manufacturing processes up to the point the product leaves the factory gate. However, for a holistic view, the report also incorporates downstream Scope 3 emissions such as transportation to customer, use phase, and end-of-life.</w:t>
      </w:r>
    </w:p>
    <w:p>
      <w:pPr>
        <w:numPr>
          <w:ilvl w:val="0"/>
          <w:numId w:val="1002"/>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specific focus on the supply chain within</w:t>
      </w:r>
      <w:r>
        <w:t xml:space="preserve"> </w:t>
      </w:r>
      <w:r>
        <w:rPr>
          <w:bCs/>
          <w:b/>
        </w:rPr>
        <w:t xml:space="preserve">Europe</w:t>
      </w:r>
      <w:r>
        <w:t xml:space="preserve">. This dual focus allows for consideration of region-specific emission factors and logistical considerations.</w:t>
      </w:r>
    </w:p>
    <w:p>
      <w:pPr>
        <w:numPr>
          <w:ilvl w:val="0"/>
          <w:numId w:val="1002"/>
        </w:numPr>
        <w:pStyle w:val="Compact"/>
      </w:pPr>
      <w:r>
        <w:rPr>
          <w:bCs/>
          <w:b/>
        </w:rPr>
        <w:t xml:space="preserve">Allocation:</w:t>
      </w:r>
      <w:r>
        <w:t xml:space="preserve"> </w:t>
      </w:r>
      <w:r>
        <w:t xml:space="preserve">Where co-production or recycling occurs, emissions are allocated based on mass, economic value, or other relevant physical relationships as per GHG Protocol guidelines to ensure fair distribution of environmental burdens.</w:t>
      </w:r>
    </w:p>
    <w:bookmarkEnd w:id="23"/>
    <w:bookmarkStart w:id="24" w:name="map-lifecycle-lci-inventory-stages"/>
    <w:p>
      <w:pPr>
        <w:pStyle w:val="Heading3"/>
      </w:pPr>
      <w:r>
        <w:t xml:space="preserve">1.2. Map Lifecycle (LCI Inventory Stages)</w:t>
      </w:r>
    </w:p>
    <w:p>
      <w:pPr>
        <w:pStyle w:val="FirstParagraph"/>
      </w:pPr>
      <w:r>
        <w:t xml:space="preserve">The lifecycle of</w:t>
      </w:r>
      <w:r>
        <w:t xml:space="preserve"> </w:t>
      </w:r>
      <w:r>
        <w:rPr>
          <w:bCs/>
          <w:b/>
        </w:rPr>
        <w:t xml:space="preserve">wzdfkvfwwu</w:t>
      </w:r>
      <w:r>
        <w:t xml:space="preserve"> </w:t>
      </w:r>
      <w:r>
        <w:t xml:space="preserve">is mapped across several key stages to identify all relevant inputs and outputs. This includes:</w:t>
      </w:r>
    </w:p>
    <w:p>
      <w:pPr>
        <w:numPr>
          <w:ilvl w:val="0"/>
          <w:numId w:val="1003"/>
        </w:numPr>
        <w:pStyle w:val="Compact"/>
      </w:pPr>
      <w:r>
        <w:rPr>
          <w:bCs/>
          <w:b/>
        </w:rPr>
        <w:t xml:space="preserve">Raw Material Acquisition &amp; Pre-processing:</w:t>
      </w:r>
      <w:r>
        <w:t xml:space="preserve"> </w:t>
      </w:r>
      <w:r>
        <w:t xml:space="preserve">Extraction, production, and processing of all components listed in the Detailed Bill of Materials.</w:t>
      </w:r>
    </w:p>
    <w:p>
      <w:pPr>
        <w:numPr>
          <w:ilvl w:val="0"/>
          <w:numId w:val="1003"/>
        </w:numPr>
        <w:pStyle w:val="Compact"/>
      </w:pPr>
      <w:r>
        <w:rPr>
          <w:bCs/>
          <w:b/>
        </w:rPr>
        <w:t xml:space="preserve">Manufacturing/Production:</w:t>
      </w:r>
      <w:r>
        <w:t xml:space="preserve"> </w:t>
      </w:r>
      <w:r>
        <w:t xml:space="preserve">Energy consumption, waste generation, and direct emissions from the assembly and finishing processes at the factory in China.</w:t>
      </w:r>
    </w:p>
    <w:p>
      <w:pPr>
        <w:numPr>
          <w:ilvl w:val="0"/>
          <w:numId w:val="1003"/>
        </w:numPr>
        <w:pStyle w:val="Compact"/>
      </w:pPr>
      <w:r>
        <w:rPr>
          <w:bCs/>
          <w:b/>
        </w:rPr>
        <w:t xml:space="preserve">Transportation (Upstream &amp; Downstream):</w:t>
      </w:r>
      <w:r>
        <w:t xml:space="preserve"> </w:t>
      </w:r>
      <w:r>
        <w:t xml:space="preserve">Logistics of raw materials from suppliers (Europe-focused supply chain) to the manufacturing facility and distribution of the finished product to the customer.</w:t>
      </w:r>
    </w:p>
    <w:p>
      <w:pPr>
        <w:numPr>
          <w:ilvl w:val="0"/>
          <w:numId w:val="1003"/>
        </w:numPr>
        <w:pStyle w:val="Compact"/>
      </w:pPr>
      <w:r>
        <w:rPr>
          <w:bCs/>
          <w:b/>
        </w:rPr>
        <w:t xml:space="preserve">Use Phase:</w:t>
      </w:r>
      <w:r>
        <w:t xml:space="preserve"> </w:t>
      </w:r>
      <w:r>
        <w:t xml:space="preserve">Energy consumption and related emissions during the typical lifespan of the product.</w:t>
      </w:r>
    </w:p>
    <w:p>
      <w:pPr>
        <w:numPr>
          <w:ilvl w:val="0"/>
          <w:numId w:val="1003"/>
        </w:numPr>
        <w:pStyle w:val="Compact"/>
      </w:pPr>
      <w:r>
        <w:rPr>
          <w:bCs/>
          <w:b/>
        </w:rPr>
        <w:t xml:space="preserve">End-of-Life:</w:t>
      </w:r>
      <w:r>
        <w:t xml:space="preserve"> </w:t>
      </w:r>
      <w:r>
        <w:t xml:space="preserve">Emissions and potential avoided emissions associated with disposal, recycling, or circular economy programs.</w:t>
      </w:r>
    </w:p>
    <w:p>
      <w:r>
        <w:pict>
          <v:rect style="width:0;height:1.5pt" o:hralign="center" o:hrstd="t" o:hr="t"/>
        </w:pict>
      </w:r>
    </w:p>
    <w:bookmarkEnd w:id="24"/>
    <w:bookmarkEnd w:id="25"/>
    <w:bookmarkStart w:id="31" w:name="data-collection-and-inputs"/>
    <w:p>
      <w:pPr>
        <w:pStyle w:val="Heading2"/>
      </w:pPr>
      <w:r>
        <w:t xml:space="preserve">2. Data Collection and Inputs</w:t>
      </w:r>
    </w:p>
    <w:p>
      <w:pPr>
        <w:pStyle w:val="FirstParagraph"/>
      </w:pPr>
      <w:r>
        <w:t xml:space="preserve">Accurate data collection is paramount for a reliable PCF. This analysis utilizes a combination of primary and secondary data sources, with specific values provided by</w:t>
      </w:r>
      <w:r>
        <w:t xml:space="preserve"> </w:t>
      </w:r>
      <w:r>
        <w:rPr>
          <w:bCs/>
          <w:b/>
        </w:rPr>
        <w:t xml:space="preserve">hwsxeysxve</w:t>
      </w:r>
      <w:r>
        <w:t xml:space="preserve">.</w:t>
      </w:r>
    </w:p>
    <w:bookmarkStart w:id="26" w:name="X8f2f3cd9bd992bb1621dd1108254d5698ae7ff3"/>
    <w:p>
      <w:pPr>
        <w:pStyle w:val="Heading3"/>
      </w:pPr>
      <w:r>
        <w:t xml:space="preserve">2.1. Detailed Bill of Materials (BOM) - Raw Material Impact</w:t>
      </w:r>
    </w:p>
    <w:p>
      <w:pPr>
        <w:pStyle w:val="FirstParagraph"/>
      </w:pPr>
      <w:r>
        <w:t xml:space="preserve">The material impact for</w:t>
      </w:r>
      <w:r>
        <w:t xml:space="preserve"> </w:t>
      </w:r>
      <w:r>
        <w:rPr>
          <w:bCs/>
          <w:b/>
        </w:rPr>
        <w:t xml:space="preserve">wzdfkvfwwu</w:t>
      </w:r>
      <w:r>
        <w:t xml:space="preserve"> </w:t>
      </w:r>
      <w:r>
        <w:t xml:space="preserve">is calculated using the provided Detailed Bill of Materials (BOM). For illustrative purposes, an example structure of the data and its application are shown below. The actual values for</w:t>
      </w:r>
      <w:r>
        <w:t xml:space="preserve"> </w:t>
      </w:r>
      <w:r>
        <w:rPr>
          <w:rStyle w:val="VerbatimChar"/>
        </w:rPr>
        <w:t xml:space="preserve">etkinmrr</w:t>
      </w:r>
      <w:r>
        <w:t xml:space="preserve"> </w:t>
      </w:r>
      <w:r>
        <w:t xml:space="preserve">would be used for the precise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 Frame</w:t>
            </w:r>
          </w:p>
        </w:tc>
        <w:tc>
          <w:tcPr/>
          <w:p>
            <w:pPr>
              <w:pStyle w:val="Compact"/>
              <w:jc w:val="left"/>
            </w:pPr>
            <w:r>
              <w:t xml:space="preserve">Metals</w:t>
            </w:r>
          </w:p>
        </w:tc>
        <w:tc>
          <w:tcPr/>
          <w:p>
            <w:pPr>
              <w:pStyle w:val="Compact"/>
              <w:jc w:val="left"/>
            </w:pPr>
            <w:r>
              <w:t xml:space="preserve">Aluminium Production (Primary)</w:t>
            </w:r>
          </w:p>
        </w:tc>
        <w:tc>
          <w:tcPr/>
          <w:p>
            <w:pPr>
              <w:pStyle w:val="Compact"/>
              <w:jc w:val="left"/>
            </w:pPr>
            <w:r>
              <w:t xml:space="preserve">(e.g., 2.5)</w:t>
            </w:r>
          </w:p>
        </w:tc>
        <w:tc>
          <w:tcPr/>
          <w:p>
            <w:pPr>
              <w:pStyle w:val="Compact"/>
              <w:jc w:val="left"/>
            </w:pPr>
            <w:r>
              <w:t xml:space="preserve">kg</w:t>
            </w:r>
          </w:p>
        </w:tc>
        <w:tc>
          <w:tcPr/>
          <w:p>
            <w:pPr>
              <w:pStyle w:val="Compact"/>
              <w:jc w:val="left"/>
            </w:pPr>
            <w:r>
              <w:t xml:space="preserve">(e.g., 8.0)</w:t>
            </w:r>
          </w:p>
        </w:tc>
        <w:tc>
          <w:tcPr/>
          <w:p>
            <w:pPr>
              <w:pStyle w:val="Compact"/>
              <w:jc w:val="left"/>
            </w:pPr>
            <w:r>
              <w:t xml:space="preserve">(e.g., 20.0)</w:t>
            </w:r>
          </w:p>
        </w:tc>
      </w:tr>
      <w:tr>
        <w:tc>
          <w:tcPr/>
          <w:p>
            <w:pPr>
              <w:pStyle w:val="Compact"/>
              <w:jc w:val="left"/>
            </w:pPr>
            <w:r>
              <w:t xml:space="preserve">M-002</w:t>
            </w:r>
          </w:p>
        </w:tc>
        <w:tc>
          <w:tcPr/>
          <w:p>
            <w:pPr>
              <w:pStyle w:val="Compact"/>
              <w:jc w:val="left"/>
            </w:pPr>
            <w:r>
              <w:t xml:space="preserve">Recycled Plastic Casing</w:t>
            </w:r>
          </w:p>
        </w:tc>
        <w:tc>
          <w:tcPr/>
          <w:p>
            <w:pPr>
              <w:pStyle w:val="Compact"/>
              <w:jc w:val="left"/>
            </w:pPr>
            <w:r>
              <w:t xml:space="preserve">Plastics</w:t>
            </w:r>
          </w:p>
        </w:tc>
        <w:tc>
          <w:tcPr/>
          <w:p>
            <w:pPr>
              <w:pStyle w:val="Compact"/>
              <w:jc w:val="left"/>
            </w:pPr>
            <w:r>
              <w:t xml:space="preserve">Recycled HDPE Production</w:t>
            </w:r>
          </w:p>
        </w:tc>
        <w:tc>
          <w:tcPr/>
          <w:p>
            <w:pPr>
              <w:pStyle w:val="Compact"/>
              <w:jc w:val="left"/>
            </w:pPr>
            <w:r>
              <w:t xml:space="preserve">(e.g., 1.5)</w:t>
            </w:r>
          </w:p>
        </w:tc>
        <w:tc>
          <w:tcPr/>
          <w:p>
            <w:pPr>
              <w:pStyle w:val="Compact"/>
              <w:jc w:val="left"/>
            </w:pPr>
            <w:r>
              <w:t xml:space="preserve">kg</w:t>
            </w:r>
          </w:p>
        </w:tc>
        <w:tc>
          <w:tcPr/>
          <w:p>
            <w:pPr>
              <w:pStyle w:val="Compact"/>
              <w:jc w:val="left"/>
            </w:pPr>
            <w:r>
              <w:t xml:space="preserve">(e.g., 1.2)</w:t>
            </w:r>
          </w:p>
        </w:tc>
        <w:tc>
          <w:tcPr/>
          <w:p>
            <w:pPr>
              <w:pStyle w:val="Compact"/>
              <w:jc w:val="left"/>
            </w:pPr>
            <w:r>
              <w:t xml:space="preserve">(e.g., 1.8)</w:t>
            </w:r>
          </w:p>
        </w:tc>
      </w:tr>
      <w:tr>
        <w:tc>
          <w:tcPr/>
          <w:p>
            <w:pPr>
              <w:pStyle w:val="Compact"/>
              <w:jc w:val="left"/>
            </w:pPr>
            <w:r>
              <w:t xml:space="preserve">M-003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Manufacturing</w:t>
            </w:r>
          </w:p>
        </w:tc>
        <w:tc>
          <w:tcPr/>
          <w:p>
            <w:pPr>
              <w:pStyle w:val="Compact"/>
              <w:jc w:val="left"/>
            </w:pPr>
            <w:r>
              <w:t xml:space="preserve">(e.g., 0.1)</w:t>
            </w:r>
          </w:p>
        </w:tc>
        <w:tc>
          <w:tcPr/>
          <w:p>
            <w:pPr>
              <w:pStyle w:val="Compact"/>
              <w:jc w:val="left"/>
            </w:pPr>
            <w:r>
              <w:t xml:space="preserve">unit</w:t>
            </w:r>
          </w:p>
        </w:tc>
        <w:tc>
          <w:tcPr/>
          <w:p>
            <w:pPr>
              <w:pStyle w:val="Compact"/>
              <w:jc w:val="left"/>
            </w:pPr>
            <w:r>
              <w:t xml:space="preserve">(e.g., 50.0)</w:t>
            </w:r>
          </w:p>
        </w:tc>
        <w:tc>
          <w:tcPr/>
          <w:p>
            <w:pPr>
              <w:pStyle w:val="Compact"/>
              <w:jc w:val="left"/>
            </w:pPr>
            <w:r>
              <w:t xml:space="preserve">(e.g., 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Copper Extraction &amp; Refinement</w:t>
            </w:r>
          </w:p>
        </w:tc>
        <w:tc>
          <w:tcPr/>
          <w:p>
            <w:pPr>
              <w:pStyle w:val="Compact"/>
              <w:jc w:val="left"/>
            </w:pPr>
            <w:r>
              <w:t xml:space="preserve">(e.g., 0.3)</w:t>
            </w:r>
          </w:p>
        </w:tc>
        <w:tc>
          <w:tcPr/>
          <w:p>
            <w:pPr>
              <w:pStyle w:val="Compact"/>
              <w:jc w:val="left"/>
            </w:pPr>
            <w:r>
              <w:t xml:space="preserve">kg</w:t>
            </w:r>
          </w:p>
        </w:tc>
        <w:tc>
          <w:tcPr/>
          <w:p>
            <w:pPr>
              <w:pStyle w:val="Compact"/>
              <w:jc w:val="left"/>
            </w:pPr>
            <w:r>
              <w:t xml:space="preserve">(e.g., 4.5)</w:t>
            </w:r>
          </w:p>
        </w:tc>
        <w:tc>
          <w:tcPr/>
          <w:p>
            <w:pPr>
              <w:pStyle w:val="Compact"/>
              <w:jc w:val="left"/>
            </w:pPr>
            <w:r>
              <w:t xml:space="preserve">(e.g., 1.35)</w:t>
            </w:r>
          </w:p>
        </w:tc>
      </w:tr>
      <w:tr>
        <w:tc>
          <w:tcPr>
            <w:gridSpan w:val="7"/>
          </w:tcPr>
          <w:p>
            <w:pPr>
              <w:pStyle w:val="Compact"/>
              <w:jc w:val="right"/>
            </w:pPr>
            <w:r>
              <w:rPr>
                <w:bCs/>
                <w:b/>
              </w:rPr>
              <w:t xml:space="preserve">Total Material Carbon Footprint (Illustrative)</w:t>
            </w:r>
          </w:p>
        </w:tc>
        <w:tc>
          <w:tcPr/>
          <w:p>
            <w:pPr>
              <w:pStyle w:val="Compact"/>
              <w:jc w:val="left"/>
            </w:pPr>
            <w:r>
              <w:rPr>
                <w:bCs/>
                <w:b/>
              </w:rPr>
              <w:t xml:space="preserve">(e.g., 28.15)</w:t>
            </w:r>
          </w:p>
        </w:tc>
      </w:tr>
    </w:tbl>
    <w:p>
      <w:pPr>
        <w:pStyle w:val="BodyText"/>
      </w:pPr>
      <w:r>
        <w:rPr>
          <w:iCs/>
          <w:i/>
        </w:rPr>
        <w:t xml:space="preserve">Note: The values in parentheses are illustrative examples to demonstrate the calculation for the specific format described for</w:t>
      </w:r>
      <w:r>
        <w:rPr>
          <w:iCs/>
          <w:i/>
        </w:rPr>
        <w:t xml:space="preserve"> </w:t>
      </w:r>
      <w:r>
        <w:rPr>
          <w:rStyle w:val="VerbatimChar"/>
          <w:iCs/>
          <w:i/>
        </w:rPr>
        <w:t xml:space="preserve">etkinmrr</w:t>
      </w:r>
      <w:r>
        <w:rPr>
          <w:iCs/>
          <w:i/>
        </w:rPr>
        <w:t xml:space="preserve">. The sum of all \'Total Carbon\' values from the actual `etkinmrr` data would constitute the overall material impact.</w:t>
      </w:r>
    </w:p>
    <w:bookmarkEnd w:id="26"/>
    <w:bookmarkStart w:id="27" w:name="production-energy-inputs"/>
    <w:p>
      <w:pPr>
        <w:pStyle w:val="Heading3"/>
      </w:pPr>
      <w:r>
        <w:t xml:space="preserve">2.2. Production Energy Inputs</w:t>
      </w:r>
    </w:p>
    <w:p>
      <w:pPr>
        <w:numPr>
          <w:ilvl w:val="0"/>
          <w:numId w:val="1004"/>
        </w:numPr>
        <w:pStyle w:val="Compact"/>
      </w:pPr>
      <w:r>
        <w:rPr>
          <w:bCs/>
          <w:b/>
        </w:rPr>
        <w:t xml:space="preserve">Renewable Energy Usage:</w:t>
      </w:r>
      <w:r>
        <w:t xml:space="preserve"> </w:t>
      </w:r>
      <w:r>
        <w:rPr>
          <w:rStyle w:val="VerbatimChar"/>
        </w:rPr>
        <w:t xml:space="preserve">tluzhsppxu</w:t>
      </w:r>
      <w:r>
        <w:t xml:space="preserve"> </w:t>
      </w:r>
      <w:r>
        <w:t xml:space="preserve">(e.g., a percentage or amount directly sourced). This value is crucial for determining the grid electricity mix\'s impact. For calculation, we will consider the specific percentage of renewable energy used for production.</w:t>
      </w:r>
    </w:p>
    <w:p>
      <w:pPr>
        <w:numPr>
          <w:ilvl w:val="0"/>
          <w:numId w:val="1004"/>
        </w:numPr>
        <w:pStyle w:val="Compact"/>
      </w:pPr>
      <w:r>
        <w:rPr>
          <w:bCs/>
          <w:b/>
        </w:rPr>
        <w:t xml:space="preserve">Energy Intensity (kWh/unit):</w:t>
      </w:r>
      <w:r>
        <w:t xml:space="preserve"> </w:t>
      </w:r>
      <w:r>
        <w:rPr>
          <w:rStyle w:val="VerbatimChar"/>
        </w:rPr>
        <w:t xml:space="preserve">imgojvyrwk</w:t>
      </w:r>
      <w:r>
        <w:t xml:space="preserve">. This represents the total electricity consumed per unit of</w:t>
      </w:r>
      <w:r>
        <w:t xml:space="preserve"> </w:t>
      </w:r>
      <w:r>
        <w:rPr>
          <w:bCs/>
          <w:b/>
        </w:rPr>
        <w:t xml:space="preserve">wzdfkvfwwu</w:t>
      </w:r>
      <w:r>
        <w:t xml:space="preserve"> </w:t>
      </w:r>
      <w:r>
        <w:t xml:space="preserve">during the manufacturing process.</w:t>
      </w:r>
    </w:p>
    <w:bookmarkEnd w:id="27"/>
    <w:bookmarkStart w:id="28" w:name="transportation-logistics"/>
    <w:p>
      <w:pPr>
        <w:pStyle w:val="Heading3"/>
      </w:pPr>
      <w:r>
        <w:t xml:space="preserve">2.3. Transportation Logistics</w:t>
      </w:r>
    </w:p>
    <w:p>
      <w:pPr>
        <w:numPr>
          <w:ilvl w:val="0"/>
          <w:numId w:val="1005"/>
        </w:numPr>
        <w:pStyle w:val="Compact"/>
      </w:pPr>
      <w:r>
        <w:rPr>
          <w:bCs/>
          <w:b/>
        </w:rPr>
        <w:t xml:space="preserve">Transport Mode:</w:t>
      </w:r>
      <w:r>
        <w:t xml:space="preserve"> </w:t>
      </w:r>
      <w:r>
        <w:rPr>
          <w:rStyle w:val="VerbatimChar"/>
        </w:rPr>
        <w:t xml:space="preserve">Select Mode</w:t>
      </w:r>
      <w:r>
        <w:t xml:space="preserve"> </w:t>
      </w:r>
      <w:r>
        <w:t xml:space="preserve">(e.g., Road, Rail, Sea, Air). This selection significantly impacts emission factors.</w:t>
      </w:r>
    </w:p>
    <w:p>
      <w:pPr>
        <w:numPr>
          <w:ilvl w:val="0"/>
          <w:numId w:val="1005"/>
        </w:numPr>
        <w:pStyle w:val="Compact"/>
      </w:pPr>
      <w:r>
        <w:rPr>
          <w:bCs/>
          <w:b/>
        </w:rPr>
        <w:t xml:space="preserve">Transport Distance:</w:t>
      </w:r>
      <w:r>
        <w:t xml:space="preserve"> </w:t>
      </w:r>
      <w:r>
        <w:rPr>
          <w:rStyle w:val="VerbatimChar"/>
        </w:rPr>
        <w:t xml:space="preserve">okiwiijftt</w:t>
      </w:r>
      <w:r>
        <w:t xml:space="preserve"> </w:t>
      </w:r>
      <w:r>
        <w:t xml:space="preserve">(e.g., in km). This refers to the distance covered by the chosen transport mode.</w:t>
      </w:r>
    </w:p>
    <w:p>
      <w:pPr>
        <w:numPr>
          <w:ilvl w:val="0"/>
          <w:numId w:val="1005"/>
        </w:numPr>
        <w:pStyle w:val="Compact"/>
      </w:pPr>
      <w:r>
        <w:rPr>
          <w:bCs/>
          <w:b/>
        </w:rPr>
        <w:t xml:space="preserve">Last-Mile Delivery Channel:</w:t>
      </w:r>
      <w:r>
        <w:t xml:space="preserve"> </w:t>
      </w:r>
      <w:r>
        <w:rPr>
          <w:rStyle w:val="VerbatimChar"/>
        </w:rPr>
        <w:t xml:space="preserve">Delivery Type</w:t>
      </w:r>
      <w:r>
        <w:t xml:space="preserve"> </w:t>
      </w:r>
      <w:r>
        <w:t xml:space="preserve">(e.g., Van, Electric Vehicle, Drone). This specifies the final leg of product delivery.</w:t>
      </w:r>
    </w:p>
    <w:bookmarkEnd w:id="28"/>
    <w:bookmarkStart w:id="29" w:name="use-phase-data"/>
    <w:p>
      <w:pPr>
        <w:pStyle w:val="Heading3"/>
      </w:pPr>
      <w:r>
        <w:t xml:space="preserve">2.4. Use Phase Data</w:t>
      </w:r>
    </w:p>
    <w:p>
      <w:pPr>
        <w:numPr>
          <w:ilvl w:val="0"/>
          <w:numId w:val="1006"/>
        </w:numPr>
        <w:pStyle w:val="Compact"/>
      </w:pPr>
      <w:r>
        <w:rPr>
          <w:bCs/>
          <w:b/>
        </w:rPr>
        <w:t xml:space="preserve">Product Lifespan:</w:t>
      </w:r>
      <w:r>
        <w:t xml:space="preserve"> </w:t>
      </w:r>
      <w:r>
        <w:rPr>
          <w:rStyle w:val="VerbatimChar"/>
        </w:rPr>
        <w:t xml:space="preserve">megonigqkr</w:t>
      </w:r>
      <w:r>
        <w:t xml:space="preserve"> </w:t>
      </w:r>
      <w:r>
        <w:t xml:space="preserve">(e.g., in years). This defines the duration over which the product\'s in-use energy consumption is considered.</w:t>
      </w:r>
    </w:p>
    <w:p>
      <w:pPr>
        <w:numPr>
          <w:ilvl w:val="0"/>
          <w:numId w:val="1006"/>
        </w:numPr>
        <w:pStyle w:val="Compact"/>
      </w:pPr>
      <w:r>
        <w:rPr>
          <w:bCs/>
          <w:b/>
        </w:rPr>
        <w:t xml:space="preserve">Energy Consumption in Use:</w:t>
      </w:r>
      <w:r>
        <w:t xml:space="preserve"> </w:t>
      </w:r>
      <w:r>
        <w:rPr>
          <w:rStyle w:val="VerbatimChar"/>
        </w:rPr>
        <w:t xml:space="preserve">juvikujxou</w:t>
      </w:r>
      <w:r>
        <w:t xml:space="preserve"> </w:t>
      </w:r>
      <w:r>
        <w:t xml:space="preserve">(e.g., kWh/year). This quantifies the average annual energy draw of the product during its operational life.</w:t>
      </w:r>
    </w:p>
    <w:bookmarkEnd w:id="29"/>
    <w:bookmarkStart w:id="30" w:name="end-of-life-eol-scenarios"/>
    <w:p>
      <w:pPr>
        <w:pStyle w:val="Heading3"/>
      </w:pPr>
      <w:r>
        <w:t xml:space="preserve">2.5. End-of-Life (EoL) Scenarios</w:t>
      </w:r>
    </w:p>
    <w:p>
      <w:pPr>
        <w:numPr>
          <w:ilvl w:val="0"/>
          <w:numId w:val="1007"/>
        </w:numPr>
        <w:pStyle w:val="Compact"/>
      </w:pPr>
      <w:r>
        <w:rPr>
          <w:bCs/>
          <w:b/>
        </w:rPr>
        <w:t xml:space="preserve">Recyclability Percentage:</w:t>
      </w:r>
      <w:r>
        <w:t xml:space="preserve"> </w:t>
      </w:r>
      <w:r>
        <w:rPr>
          <w:rStyle w:val="VerbatimChar"/>
        </w:rPr>
        <w:t xml:space="preserve">jtfqdgtjfj</w:t>
      </w:r>
      <w:r>
        <w:t xml:space="preserve"> </w:t>
      </w:r>
      <w:r>
        <w:t xml:space="preserve">(e.g., percentage by mass). This indicates the proportion of the product that can be recycled.</w:t>
      </w:r>
    </w:p>
    <w:p>
      <w:pPr>
        <w:numPr>
          <w:ilvl w:val="0"/>
          <w:numId w:val="1007"/>
        </w:numPr>
        <w:pStyle w:val="Compact"/>
      </w:pPr>
      <w:r>
        <w:rPr>
          <w:bCs/>
          <w:b/>
        </w:rPr>
        <w:t xml:space="preserve">Circular/Take-back Programs:</w:t>
      </w:r>
      <w:r>
        <w:t xml:space="preserve"> </w:t>
      </w:r>
      <w:r>
        <w:rPr>
          <w:rStyle w:val="VerbatimChar"/>
        </w:rPr>
        <w:t xml:space="preserve">ogsznjysjv</w:t>
      </w:r>
      <w:r>
        <w:t xml:space="preserve"> </w:t>
      </w:r>
      <w:r>
        <w:t xml:space="preserve">(e.g., existence and effectiveness of such programs). These programs can lead to avoided emissions by keeping materials in circulation.</w:t>
      </w:r>
    </w:p>
    <w:p>
      <w:pPr>
        <w:pStyle w:val="FirstParagraph"/>
      </w:pPr>
      <w:r>
        <w:rPr>
          <w:iCs/>
          <w:i/>
        </w:rPr>
        <w:t xml:space="preserve">Secondary data, such as generic emission factors for various materials, energy sources, and transport modes, are sourced from recognized databases like Ecoinvent and DEFRA, where primary data is unavailable or to cross-verify.</w:t>
      </w:r>
    </w:p>
    <w:p>
      <w:r>
        <w:pict>
          <v:rect style="width:0;height:1.5pt" o:hralign="center" o:hrstd="t" o:hr="t"/>
        </w:pict>
      </w:r>
    </w:p>
    <w:bookmarkEnd w:id="30"/>
    <w:bookmarkEnd w:id="31"/>
    <w:bookmarkStart w:id="38" w:name="Xdd1c2ba429305467bad58a0828410d9d0fce25c"/>
    <w:p>
      <w:pPr>
        <w:pStyle w:val="Heading2"/>
      </w:pPr>
      <w:r>
        <w:t xml:space="preserve">3. Emissions Calculation (Activity * Emission Factor = CO2e)</w:t>
      </w:r>
    </w:p>
    <w:p>
      <w:pPr>
        <w:pStyle w:val="FirstParagraph"/>
      </w:pPr>
      <w:r>
        <w:t xml:space="preserve">The calculation of greenhouse gas emissions follows the GHG Protocol framework, categorizing emissions into Scope 1, Scope 2, and Scope 3. All calculations are performed on a per-functional unit basis (1.0 unit of</w:t>
      </w:r>
      <w:r>
        <w:t xml:space="preserve"> </w:t>
      </w:r>
      <w:r>
        <w:rPr>
          <w:bCs/>
          <w:b/>
        </w:rPr>
        <w:t xml:space="preserve">wzdfkvfwwu</w:t>
      </w:r>
      <w:r>
        <w:t xml:space="preserve">) and expressed in kilograms of carbon dioxide equivalent (kg CO2e).</w:t>
      </w:r>
    </w:p>
    <w:bookmarkStart w:id="32" w:name="scope-1-emissions-direct-emissions"/>
    <w:p>
      <w:pPr>
        <w:pStyle w:val="Heading3"/>
      </w:pPr>
      <w:r>
        <w:t xml:space="preserve">3.1. Scope 1 Emissions (Direct Emissions)</w:t>
      </w:r>
    </w:p>
    <w:p>
      <w:pPr>
        <w:pStyle w:val="FirstParagraph"/>
      </w:pPr>
      <w:r>
        <w:t xml:space="preserve">For a \'factory_gate\' boundary, direct Scope 1 emissions typically include on-site fuel combustion (e.g., for heating or power generation) and process emissions directly from the manufacturing of</w:t>
      </w:r>
      <w:r>
        <w:t xml:space="preserve"> </w:t>
      </w:r>
      <w:r>
        <w:rPr>
          <w:bCs/>
          <w:b/>
        </w:rPr>
        <w:t xml:space="preserve">wzdfkvfwwu</w:t>
      </w:r>
      <w:r>
        <w:t xml:space="preserve">. Without specific data on on-site fuel consumption or process-specific emissions for</w:t>
      </w:r>
      <w:r>
        <w:t xml:space="preserve"> </w:t>
      </w:r>
      <w:r>
        <w:rPr>
          <w:bCs/>
          <w:b/>
        </w:rPr>
        <w:t xml:space="preserve">hwsxeysxve</w:t>
      </w:r>
      <w:r>
        <w:t xml:space="preserve">, these are assumed to be negligible or covered under specific material production processes within Scope 3. If direct fuel combustion occurred at the production site in China, its emissions would be accounted for here.</w:t>
      </w:r>
    </w:p>
    <w:p>
      <w:pPr>
        <w:numPr>
          <w:ilvl w:val="0"/>
          <w:numId w:val="1008"/>
        </w:numPr>
        <w:pStyle w:val="Compact"/>
      </w:pPr>
      <w:r>
        <w:rPr>
          <w:bCs/>
          <w:b/>
        </w:rPr>
        <w:t xml:space="preserve">Illustrative Example:</w:t>
      </w:r>
      <w:r>
        <w:t xml:space="preserve"> </w:t>
      </w:r>
      <w:r>
        <w:t xml:space="preserve">If the factory used 10 liters of diesel for backup generators per functional unit, and the emission factor for diesel is approximately 2.68 kg CO2e/liter, Scope 1 emissions would be 10 * 2.68 = 26.8 kg CO2e. (This is an example; actual direct emissions from `hwsxeysxve` would be used).</w:t>
      </w:r>
    </w:p>
    <w:bookmarkEnd w:id="32"/>
    <w:bookmarkStart w:id="33" w:name="scope-2-emissions-purchased-energy"/>
    <w:p>
      <w:pPr>
        <w:pStyle w:val="Heading3"/>
      </w:pPr>
      <w:r>
        <w:t xml:space="preserve">3.2. Scope 2 Emissions (Purchased Energy)</w:t>
      </w:r>
    </w:p>
    <w:p>
      <w:pPr>
        <w:pStyle w:val="FirstParagraph"/>
      </w:pPr>
      <w:r>
        <w:t xml:space="preserve">Scope 2 emissions account for the indirect greenhouse gas emissions from the generation of purchased electricity, heat, or steam consumed by</w:t>
      </w:r>
      <w:r>
        <w:t xml:space="preserve"> </w:t>
      </w:r>
      <w:r>
        <w:rPr>
          <w:bCs/>
          <w:b/>
        </w:rPr>
        <w:t xml:space="preserve">hwsxeysxve</w:t>
      </w:r>
      <w:r>
        <w:t xml:space="preserve"> </w:t>
      </w:r>
      <w:r>
        <w:t xml:space="preserve">for manufacturing</w:t>
      </w:r>
      <w:r>
        <w:t xml:space="preserve"> </w:t>
      </w:r>
      <w:r>
        <w:rPr>
          <w:bCs/>
          <w:b/>
        </w:rPr>
        <w:t xml:space="preserve">wzdfkvfwwu</w:t>
      </w:r>
      <w:r>
        <w:t xml:space="preserve"> </w:t>
      </w:r>
      <w:r>
        <w:t xml:space="preserve">in China.</w:t>
      </w:r>
    </w:p>
    <w:p>
      <w:pPr>
        <w:numPr>
          <w:ilvl w:val="0"/>
          <w:numId w:val="1009"/>
        </w:numPr>
        <w:pStyle w:val="Compact"/>
      </w:pPr>
      <w:r>
        <w:rPr>
          <w:bCs/>
          <w:b/>
        </w:rPr>
        <w:t xml:space="preserve">Energy Intensity:</w:t>
      </w:r>
      <w:r>
        <w:t xml:space="preserve"> </w:t>
      </w:r>
      <w:r>
        <w:rPr>
          <w:rStyle w:val="VerbatimChar"/>
        </w:rPr>
        <w:t xml:space="preserve">imgojvyrwk</w:t>
      </w:r>
      <w:r>
        <w:t xml:space="preserve"> </w:t>
      </w:r>
      <w:r>
        <w:t xml:space="preserve">kWh/unit.</w:t>
      </w:r>
    </w:p>
    <w:p>
      <w:pPr>
        <w:numPr>
          <w:ilvl w:val="0"/>
          <w:numId w:val="1009"/>
        </w:numPr>
        <w:pStyle w:val="Compact"/>
      </w:pPr>
      <w:r>
        <w:rPr>
          <w:bCs/>
          <w:b/>
        </w:rPr>
        <w:t xml:space="preserve">Renewable Energy Usage:</w:t>
      </w:r>
      <w:r>
        <w:t xml:space="preserve"> </w:t>
      </w:r>
      <w:r>
        <w:rPr>
          <w:rStyle w:val="VerbatimChar"/>
        </w:rPr>
        <w:t xml:space="preserve">tluzhsppxu</w:t>
      </w:r>
      <w:r>
        <w:t xml:space="preserve">. This percentage directly influences the grid mix and thus the effective emission factor.</w:t>
      </w:r>
    </w:p>
    <w:p>
      <w:pPr>
        <w:numPr>
          <w:ilvl w:val="0"/>
          <w:numId w:val="1009"/>
        </w:numPr>
        <w:pStyle w:val="Compact"/>
      </w:pPr>
      <w:r>
        <w:rPr>
          <w:bCs/>
          <w:b/>
        </w:rPr>
        <w:t xml:space="preserve">Calculation:</w:t>
      </w:r>
    </w:p>
    <w:p>
      <w:pPr>
        <w:numPr>
          <w:ilvl w:val="1"/>
          <w:numId w:val="1010"/>
        </w:numPr>
        <w:pStyle w:val="Compact"/>
      </w:pPr>
      <w:r>
        <w:t xml:space="preserve">Assume a grid emission factor for electricity in China (e.g., 0.556 kg CO2e/kWh or 0.6835 tCO2e/MWh, which is 0.6835 kg CO2e/kWh). Let\'s use 0.60 kg CO2e/kWh for this example, representing a blended factor.</w:t>
      </w:r>
    </w:p>
    <w:p>
      <w:pPr>
        <w:numPr>
          <w:ilvl w:val="1"/>
          <w:numId w:val="1010"/>
        </w:numPr>
        <w:pStyle w:val="Compact"/>
      </w:pPr>
      <w:r>
        <w:t xml:space="preserve">Adjusted Grid Emission Factor = Grid Emission Factor * (1 - Renewable Energy Usage Percentage).</w:t>
      </w:r>
    </w:p>
    <w:p>
      <w:pPr>
        <w:numPr>
          <w:ilvl w:val="1"/>
          <w:numId w:val="1010"/>
        </w:numPr>
        <w:pStyle w:val="Compact"/>
      </w:pPr>
      <w:r>
        <w:t xml:space="preserve">Scope 2 Emissions = Energy Intensity * Adjusted Grid Emission Factor.</w:t>
      </w:r>
    </w:p>
    <w:p>
      <w:pPr>
        <w:numPr>
          <w:ilvl w:val="0"/>
          <w:numId w:val="1009"/>
        </w:numPr>
        <w:pStyle w:val="Compact"/>
      </w:pPr>
      <w:r>
        <w:rPr>
          <w:bCs/>
          <w:b/>
        </w:rPr>
        <w:t xml:space="preserve">Illustrative Example:</w:t>
      </w:r>
    </w:p>
    <w:p>
      <w:pPr>
        <w:numPr>
          <w:ilvl w:val="1"/>
          <w:numId w:val="1011"/>
        </w:numPr>
        <w:pStyle w:val="Compact"/>
      </w:pPr>
      <w:r>
        <w:t xml:space="preserve">Energy Intensity: Assume</w:t>
      </w:r>
      <w:r>
        <w:t xml:space="preserve"> </w:t>
      </w:r>
      <w:r>
        <w:rPr>
          <w:rStyle w:val="VerbatimChar"/>
        </w:rPr>
        <w:t xml:space="preserve">imgojvyrwk</w:t>
      </w:r>
      <w:r>
        <w:t xml:space="preserve"> </w:t>
      </w:r>
      <w:r>
        <w:t xml:space="preserve">= 50 kWh/unit.</w:t>
      </w:r>
    </w:p>
    <w:p>
      <w:pPr>
        <w:numPr>
          <w:ilvl w:val="1"/>
          <w:numId w:val="1011"/>
        </w:numPr>
        <w:pStyle w:val="Compact"/>
      </w:pPr>
      <w:r>
        <w:t xml:space="preserve">Renewable Energy Usage: Assume</w:t>
      </w:r>
      <w:r>
        <w:t xml:space="preserve"> </w:t>
      </w:r>
      <w:r>
        <w:rPr>
          <w:rStyle w:val="VerbatimChar"/>
        </w:rPr>
        <w:t xml:space="preserve">tluzhsppxu</w:t>
      </w:r>
      <w:r>
        <w:t xml:space="preserve"> </w:t>
      </w:r>
      <w:r>
        <w:t xml:space="preserve">= 30%.</w:t>
      </w:r>
    </w:p>
    <w:p>
      <w:pPr>
        <w:numPr>
          <w:ilvl w:val="1"/>
          <w:numId w:val="1011"/>
        </w:numPr>
        <w:pStyle w:val="Compact"/>
      </w:pPr>
      <w:r>
        <w:t xml:space="preserve">Adjusted Grid Emission Factor = 0.60 kg CO2e/kWh * (1 - 0.30) = 0.42 kg CO2e/kWh.</w:t>
      </w:r>
    </w:p>
    <w:p>
      <w:pPr>
        <w:numPr>
          <w:ilvl w:val="1"/>
          <w:numId w:val="1011"/>
        </w:numPr>
        <w:pStyle w:val="Compact"/>
      </w:pPr>
      <w:r>
        <w:t xml:space="preserve">Scope 2 Emissions = 50 kWh/unit * 0.42 kg CO2e/kWh = 21.0 kg CO2e/unit.</w:t>
      </w:r>
    </w:p>
    <w:bookmarkEnd w:id="33"/>
    <w:bookmarkStart w:id="36" w:name="scope-3-emissions-value-chain-emissions"/>
    <w:p>
      <w:pPr>
        <w:pStyle w:val="Heading3"/>
      </w:pPr>
      <w:r>
        <w:t xml:space="preserve">3.3. Scope 3 Emissions (Value Chain Emissions)</w:t>
      </w:r>
    </w:p>
    <w:p>
      <w:pPr>
        <w:pStyle w:val="FirstParagraph"/>
      </w:pPr>
      <w:r>
        <w:t xml:space="preserve">Scope 3 emissions represent the most significant portion of a product\'s footprint and encompass all indirect emissions not included in Scope 2. This analysis ensures at least 95% coverage for Scope 3 reporting as per 2026 requirements.</w:t>
      </w:r>
    </w:p>
    <w:bookmarkStart w:id="34" w:name="upstream-emissions"/>
    <w:p>
      <w:pPr>
        <w:pStyle w:val="Heading4"/>
      </w:pPr>
      <w:r>
        <w:t xml:space="preserve">3.3.1. Upstream Emissions</w:t>
      </w:r>
    </w:p>
    <w:p>
      <w:pPr>
        <w:pStyle w:val="FirstParagraph"/>
      </w:pPr>
      <w:r>
        <w:t xml:space="preserve">This category includes emissions from raw material extraction, processing (Category 1: Purchased goods and services), and transportation of components to the manufacturing facility (Category 4: Upstream transportation and distribution).</w:t>
      </w:r>
    </w:p>
    <w:p>
      <w:pPr>
        <w:numPr>
          <w:ilvl w:val="0"/>
          <w:numId w:val="1012"/>
        </w:numPr>
      </w:pPr>
      <w:r>
        <w:rPr>
          <w:bCs/>
          <w:b/>
        </w:rPr>
        <w:t xml:space="preserve">Purchased Goods and Services (Materials):</w:t>
      </w:r>
      <w:r>
        <w:t xml:space="preserve"> </w:t>
      </w:r>
      <w:r>
        <w:t xml:space="preserve">Calculated using the provided `etkinmrr` (Detailed Bill of Materials).</w:t>
      </w:r>
    </w:p>
    <w:p>
      <w:pPr>
        <w:numPr>
          <w:ilvl w:val="1"/>
          <w:numId w:val="1013"/>
        </w:numPr>
        <w:pStyle w:val="Compact"/>
      </w:pPr>
      <w:r>
        <w:t xml:space="preserve">For each material item, Total Carbon (TC_Mx) = Qty * Emission Factor (EF_Mx).</w:t>
      </w:r>
    </w:p>
    <w:p>
      <w:pPr>
        <w:numPr>
          <w:ilvl w:val="1"/>
          <w:numId w:val="1013"/>
        </w:numPr>
        <w:pStyle w:val="Compact"/>
      </w:pPr>
      <w:r>
        <w:t xml:space="preserve">Total Material Emissions = Σ(Total Carbon from `etkinmrr`).</w:t>
      </w:r>
    </w:p>
    <w:p>
      <w:pPr>
        <w:numPr>
          <w:ilvl w:val="0"/>
          <w:numId w:val="1000"/>
        </w:numPr>
      </w:pPr>
      <w:r>
        <w:rPr>
          <w:bCs/>
          <w:b/>
        </w:rPr>
        <w:t xml:space="preserve">Illustrative Example:</w:t>
      </w:r>
      <w:r>
        <w:t xml:space="preserve"> </w:t>
      </w:r>
      <w:r>
        <w:t xml:space="preserve">Based on the example BOM data in Section 2.1, if Σ(TC_Mx) from `etkinmrr` totals 28.15 kg CO2e, this would be the material footprint.</w:t>
      </w:r>
    </w:p>
    <w:p>
      <w:pPr>
        <w:numPr>
          <w:ilvl w:val="0"/>
          <w:numId w:val="1012"/>
        </w:numPr>
      </w:pPr>
      <w:r>
        <w:rPr>
          <w:bCs/>
          <w:b/>
        </w:rPr>
        <w:t xml:space="preserve">Upstream Transportation &amp; Distribution:</w:t>
      </w:r>
    </w:p>
    <w:p>
      <w:pPr>
        <w:numPr>
          <w:ilvl w:val="1"/>
          <w:numId w:val="1014"/>
        </w:numPr>
        <w:pStyle w:val="Compact"/>
      </w:pPr>
      <w:r>
        <w:t xml:space="preserve">Transport Mode:</w:t>
      </w:r>
      <w:r>
        <w:t xml:space="preserve"> </w:t>
      </w:r>
      <w:r>
        <w:rPr>
          <w:rStyle w:val="VerbatimChar"/>
        </w:rPr>
        <w:t xml:space="preserve">Select Mode</w:t>
      </w:r>
      <w:r>
        <w:t xml:space="preserve"> </w:t>
      </w:r>
      <w:r>
        <w:t xml:space="preserve">(e.g., maritime freight).</w:t>
      </w:r>
    </w:p>
    <w:p>
      <w:pPr>
        <w:numPr>
          <w:ilvl w:val="1"/>
          <w:numId w:val="1014"/>
        </w:numPr>
        <w:pStyle w:val="Compact"/>
      </w:pPr>
      <w:r>
        <w:t xml:space="preserve">Transport Distance:</w:t>
      </w:r>
      <w:r>
        <w:t xml:space="preserve"> </w:t>
      </w:r>
      <w:r>
        <w:rPr>
          <w:rStyle w:val="VerbatimChar"/>
        </w:rPr>
        <w:t xml:space="preserve">okiwiijftt</w:t>
      </w:r>
      <w:r>
        <w:t xml:space="preserve"> </w:t>
      </w:r>
      <w:r>
        <w:t xml:space="preserve">(e.g., 5,000 km from Europe to China).</w:t>
      </w:r>
    </w:p>
    <w:p>
      <w:pPr>
        <w:numPr>
          <w:ilvl w:val="1"/>
          <w:numId w:val="1014"/>
        </w:numPr>
        <w:pStyle w:val="Compact"/>
      </w:pPr>
      <w:r>
        <w:t xml:space="preserve">Emission Factor for Mode (e.g., for maritime freight, 0.016 kg CO2e/tonne-km).</w:t>
      </w:r>
    </w:p>
    <w:p>
      <w:pPr>
        <w:numPr>
          <w:ilvl w:val="1"/>
          <w:numId w:val="1014"/>
        </w:numPr>
        <w:pStyle w:val="Compact"/>
      </w:pPr>
      <w:r>
        <w:t xml:space="preserve">Product Mass (Assume 5 kg/unit for wzdfkvfwwu for example).</w:t>
      </w:r>
    </w:p>
    <w:p>
      <w:pPr>
        <w:numPr>
          <w:ilvl w:val="1"/>
          <w:numId w:val="1014"/>
        </w:numPr>
        <w:pStyle w:val="Compact"/>
      </w:pPr>
      <w:r>
        <w:t xml:space="preserve">Calculation: Transport Distance * Product Mass (in tonnes) * Emission Factor.</w:t>
      </w:r>
    </w:p>
    <w:p>
      <w:pPr>
        <w:numPr>
          <w:ilvl w:val="0"/>
          <w:numId w:val="1000"/>
        </w:numPr>
      </w:pPr>
      <w:r>
        <w:rPr>
          <w:bCs/>
          <w:b/>
        </w:rPr>
        <w:t xml:space="preserve">Illustrative Example:</w:t>
      </w:r>
      <w:r>
        <w:t xml:space="preserve"> </w:t>
      </w:r>
      <w:r>
        <w:t xml:space="preserve">5,000 km * (5 kg / 1000 kg/tonne) * 0.016 kg CO2e/tonne-km = 5,000 * 0.005 tonne * 0.016 kg CO2e/tonne-km = 0.40 kg CO2e/unit.</w:t>
      </w:r>
    </w:p>
    <w:bookmarkEnd w:id="34"/>
    <w:bookmarkStart w:id="35" w:name="downstream-emissions"/>
    <w:p>
      <w:pPr>
        <w:pStyle w:val="Heading4"/>
      </w:pPr>
      <w:r>
        <w:t xml:space="preserve">3.3.2. Downstream Emissions</w:t>
      </w:r>
    </w:p>
    <w:p>
      <w:pPr>
        <w:pStyle w:val="FirstParagraph"/>
      </w:pPr>
      <w:r>
        <w:t xml:space="preserve">This category includes emissions from the transportation of finished products (Category 9: Downstream transportation and distribution), their use phase (Category 11: Use of sold products), and end-of-life treatment (Category 12: End-of-life treatment of sold products).</w:t>
      </w:r>
    </w:p>
    <w:p>
      <w:pPr>
        <w:numPr>
          <w:ilvl w:val="0"/>
          <w:numId w:val="1015"/>
        </w:numPr>
      </w:pPr>
      <w:r>
        <w:rPr>
          <w:bCs/>
          <w:b/>
        </w:rPr>
        <w:t xml:space="preserve">Downstream Transportation &amp; Distribution:</w:t>
      </w:r>
    </w:p>
    <w:p>
      <w:pPr>
        <w:numPr>
          <w:ilvl w:val="1"/>
          <w:numId w:val="1016"/>
        </w:numPr>
        <w:pStyle w:val="Compact"/>
      </w:pPr>
      <w:r>
        <w:t xml:space="preserve">Transport Mode:</w:t>
      </w:r>
      <w:r>
        <w:t xml:space="preserve"> </w:t>
      </w:r>
      <w:r>
        <w:rPr>
          <w:rStyle w:val="VerbatimChar"/>
        </w:rPr>
        <w:t xml:space="preserve">Select Mode</w:t>
      </w:r>
      <w:r>
        <w:t xml:space="preserve"> </w:t>
      </w:r>
      <w:r>
        <w:t xml:space="preserve">(e.g., Road freight for distribution within China/export).</w:t>
      </w:r>
    </w:p>
    <w:p>
      <w:pPr>
        <w:numPr>
          <w:ilvl w:val="1"/>
          <w:numId w:val="1016"/>
        </w:numPr>
        <w:pStyle w:val="Compact"/>
      </w:pPr>
      <w:r>
        <w:t xml:space="preserve">Transport Distance:</w:t>
      </w:r>
      <w:r>
        <w:t xml:space="preserve"> </w:t>
      </w:r>
      <w:r>
        <w:rPr>
          <w:rStyle w:val="VerbatimChar"/>
        </w:rPr>
        <w:t xml:space="preserve">okiwiijftt</w:t>
      </w:r>
      <w:r>
        <w:t xml:space="preserve"> </w:t>
      </w:r>
      <w:r>
        <w:t xml:space="preserve">(e.g., 1,000 km to distribution center).</w:t>
      </w:r>
    </w:p>
    <w:p>
      <w:pPr>
        <w:numPr>
          <w:ilvl w:val="1"/>
          <w:numId w:val="1016"/>
        </w:numPr>
        <w:pStyle w:val="Compact"/>
      </w:pPr>
      <w:r>
        <w:t xml:space="preserve">Last-Mile Delivery Channel:</w:t>
      </w:r>
      <w:r>
        <w:t xml:space="preserve"> </w:t>
      </w:r>
      <w:r>
        <w:rPr>
          <w:rStyle w:val="VerbatimChar"/>
        </w:rPr>
        <w:t xml:space="preserve">Delivery Type</w:t>
      </w:r>
      <w:r>
        <w:t xml:space="preserve"> </w:t>
      </w:r>
      <w:r>
        <w:t xml:space="preserve">(e.g., Diesel Van).</w:t>
      </w:r>
    </w:p>
    <w:p>
      <w:pPr>
        <w:numPr>
          <w:ilvl w:val="1"/>
          <w:numId w:val="1016"/>
        </w:numPr>
        <w:pStyle w:val="Compact"/>
      </w:pPr>
      <w:r>
        <w:t xml:space="preserve">Emission Factor for Mode/Delivery (e.g., for road freight (LTL/Dry Van in North America, but using for general road freight example), 0.244 kg CO2e/tonne-km; for diesel van 0.241 kg CO2e/km for freighting goods up to 3.5 tonnes). Let\'s use 0.08 kg CO2e/tonne-km for general road freight and 0.24 kg CO2e/km for last mile.</w:t>
      </w:r>
    </w:p>
    <w:p>
      <w:pPr>
        <w:numPr>
          <w:ilvl w:val="1"/>
          <w:numId w:val="1016"/>
        </w:numPr>
        <w:pStyle w:val="Compact"/>
      </w:pPr>
      <w:r>
        <w:t xml:space="preserve">Product Mass (Assume 5 kg/unit).</w:t>
      </w:r>
    </w:p>
    <w:p>
      <w:pPr>
        <w:numPr>
          <w:ilvl w:val="1"/>
          <w:numId w:val="1016"/>
        </w:numPr>
        <w:pStyle w:val="Compact"/>
      </w:pPr>
      <w:r>
        <w:t xml:space="preserve">Calculation: (Transport Distance * Product Mass (in tonnes) * Road Freight EF) + (Last-Mile Distance * Diesel Van EF).</w:t>
      </w:r>
    </w:p>
    <w:p>
      <w:pPr>
        <w:numPr>
          <w:ilvl w:val="0"/>
          <w:numId w:val="1000"/>
        </w:numPr>
      </w:pPr>
      <w:r>
        <w:rPr>
          <w:bCs/>
          <w:b/>
        </w:rPr>
        <w:t xml:space="preserve">Illustrative Example:</w:t>
      </w:r>
    </w:p>
    <w:p>
      <w:pPr>
        <w:numPr>
          <w:ilvl w:val="1"/>
          <w:numId w:val="1017"/>
        </w:numPr>
        <w:pStyle w:val="Compact"/>
      </w:pPr>
      <w:r>
        <w:t xml:space="preserve">Assume 800 km road freight: 800 km * 0.005 tonne * 0.08 kg CO2e/tonne-km = 0.32 kg CO2e.</w:t>
      </w:r>
    </w:p>
    <w:p>
      <w:pPr>
        <w:numPr>
          <w:ilvl w:val="1"/>
          <w:numId w:val="1017"/>
        </w:numPr>
        <w:pStyle w:val="Compact"/>
      </w:pPr>
      <w:r>
        <w:t xml:space="preserve">Assume 200 km last-mile delivery by diesel van: 200 km * 0.24 kg CO2e/km = 48.0 kg CO2e.</w:t>
      </w:r>
    </w:p>
    <w:p>
      <w:pPr>
        <w:numPr>
          <w:ilvl w:val="1"/>
          <w:numId w:val="1017"/>
        </w:numPr>
        <w:pStyle w:val="Compact"/>
      </w:pPr>
      <w:r>
        <w:t xml:space="preserve">Total Downstream Transport = 0.32 + 48.0 = 48.32 kg CO2e/unit.</w:t>
      </w:r>
    </w:p>
    <w:p>
      <w:pPr>
        <w:numPr>
          <w:ilvl w:val="0"/>
          <w:numId w:val="1015"/>
        </w:numPr>
      </w:pPr>
      <w:r>
        <w:rPr>
          <w:bCs/>
          <w:b/>
        </w:rPr>
        <w:t xml:space="preserve">Use Phase Emissions:</w:t>
      </w:r>
    </w:p>
    <w:p>
      <w:pPr>
        <w:numPr>
          <w:ilvl w:val="1"/>
          <w:numId w:val="1018"/>
        </w:numPr>
        <w:pStyle w:val="Compact"/>
      </w:pPr>
      <w:r>
        <w:t xml:space="preserve">Product Lifespan:</w:t>
      </w:r>
      <w:r>
        <w:t xml:space="preserve"> </w:t>
      </w:r>
      <w:r>
        <w:rPr>
          <w:rStyle w:val="VerbatimChar"/>
        </w:rPr>
        <w:t xml:space="preserve">megonigqkr</w:t>
      </w:r>
      <w:r>
        <w:t xml:space="preserve"> </w:t>
      </w:r>
      <w:r>
        <w:t xml:space="preserve">(e.g., 5 years).</w:t>
      </w:r>
    </w:p>
    <w:p>
      <w:pPr>
        <w:numPr>
          <w:ilvl w:val="1"/>
          <w:numId w:val="1018"/>
        </w:numPr>
        <w:pStyle w:val="Compact"/>
      </w:pPr>
      <w:r>
        <w:t xml:space="preserve">Energy Consumption in Use:</w:t>
      </w:r>
      <w:r>
        <w:t xml:space="preserve"> </w:t>
      </w:r>
      <w:r>
        <w:rPr>
          <w:rStyle w:val="VerbatimChar"/>
        </w:rPr>
        <w:t xml:space="preserve">juvikujxou</w:t>
      </w:r>
      <w:r>
        <w:t xml:space="preserve"> </w:t>
      </w:r>
      <w:r>
        <w:t xml:space="preserve">(e.g., 10 kWh/year).</w:t>
      </w:r>
    </w:p>
    <w:p>
      <w:pPr>
        <w:numPr>
          <w:ilvl w:val="1"/>
          <w:numId w:val="1018"/>
        </w:numPr>
        <w:pStyle w:val="Compact"/>
      </w:pPr>
      <w:r>
        <w:t xml:space="preserve">Grid Emission Factor for Use Location (e.g., 0.5 kg CO2e/kWh, assuming average global electricity mix if not specified).</w:t>
      </w:r>
    </w:p>
    <w:p>
      <w:pPr>
        <w:numPr>
          <w:ilvl w:val="1"/>
          <w:numId w:val="1018"/>
        </w:numPr>
        <w:pStyle w:val="Compact"/>
      </w:pPr>
      <w:r>
        <w:t xml:space="preserve">Calculation: Product Lifespan * Energy Consumption in Use * Grid Emission Factor.</w:t>
      </w:r>
    </w:p>
    <w:p>
      <w:pPr>
        <w:numPr>
          <w:ilvl w:val="0"/>
          <w:numId w:val="1000"/>
        </w:numPr>
      </w:pPr>
      <w:r>
        <w:rPr>
          <w:bCs/>
          <w:b/>
        </w:rPr>
        <w:t xml:space="preserve">Illustrative Example:</w:t>
      </w:r>
      <w:r>
        <w:t xml:space="preserve"> </w:t>
      </w:r>
      <w:r>
        <w:t xml:space="preserve">5 years * 10 kWh/year * 0.5 kg CO2e/kWh = 25.0 kg CO2e/unit.</w:t>
      </w:r>
    </w:p>
    <w:p>
      <w:pPr>
        <w:numPr>
          <w:ilvl w:val="0"/>
          <w:numId w:val="1015"/>
        </w:numPr>
      </w:pPr>
      <w:r>
        <w:rPr>
          <w:bCs/>
          <w:b/>
        </w:rPr>
        <w:t xml:space="preserve">End-of-Life Treatment:</w:t>
      </w:r>
    </w:p>
    <w:p>
      <w:pPr>
        <w:numPr>
          <w:ilvl w:val="1"/>
          <w:numId w:val="1019"/>
        </w:numPr>
        <w:pStyle w:val="Compact"/>
      </w:pPr>
      <w:r>
        <w:t xml:space="preserve">Recyclability Percentage:</w:t>
      </w:r>
      <w:r>
        <w:t xml:space="preserve"> </w:t>
      </w:r>
      <w:r>
        <w:rPr>
          <w:rStyle w:val="VerbatimChar"/>
        </w:rPr>
        <w:t xml:space="preserve">jtfqdgtjfj</w:t>
      </w:r>
      <w:r>
        <w:t xml:space="preserve"> </w:t>
      </w:r>
      <w:r>
        <w:t xml:space="preserve">(e.g., 70%).</w:t>
      </w:r>
    </w:p>
    <w:p>
      <w:pPr>
        <w:numPr>
          <w:ilvl w:val="1"/>
          <w:numId w:val="1019"/>
        </w:numPr>
        <w:pStyle w:val="Compact"/>
      </w:pPr>
      <w:r>
        <w:t xml:space="preserve">Circular/Take-back Programs:</w:t>
      </w:r>
      <w:r>
        <w:t xml:space="preserve"> </w:t>
      </w:r>
      <w:r>
        <w:rPr>
          <w:rStyle w:val="VerbatimChar"/>
        </w:rPr>
        <w:t xml:space="preserve">ogsznjysjv</w:t>
      </w:r>
      <w:r>
        <w:t xml:space="preserve"> </w:t>
      </w:r>
      <w:r>
        <w:t xml:space="preserve">(e.g., "Active regional program").</w:t>
      </w:r>
    </w:p>
    <w:p>
      <w:pPr>
        <w:numPr>
          <w:ilvl w:val="1"/>
          <w:numId w:val="1019"/>
        </w:numPr>
        <w:pStyle w:val="Compact"/>
      </w:pPr>
      <w:r>
        <w:t xml:space="preserve">Calculation involves assessing emissions from landfill/incineration for non-recycled parts and potential avoided emissions for recycled parts (substitution approach).</w:t>
      </w:r>
    </w:p>
    <w:p>
      <w:pPr>
        <w:numPr>
          <w:ilvl w:val="1"/>
          <w:numId w:val="1019"/>
        </w:numPr>
        <w:pStyle w:val="Compact"/>
      </w:pPr>
      <w:r>
        <w:t xml:space="preserve">Assume EoL emission factors for disposal of non-recyclable plastic (e.g., 1.5 kg CO2e/kg) and avoided emissions for recycling plastic (e.g., -1.0 kg CO2e/kg).</w:t>
      </w:r>
    </w:p>
    <w:p>
      <w:pPr>
        <w:numPr>
          <w:ilvl w:val="1"/>
          <w:numId w:val="1019"/>
        </w:numPr>
        <w:pStyle w:val="Compact"/>
      </w:pPr>
      <w:r>
        <w:t xml:space="preserve">Non-Recycled Mass (assuming total product mass 5 kg/unit): 5 kg * (1 - 0.70) = 1.5 kg.</w:t>
      </w:r>
    </w:p>
    <w:p>
      <w:pPr>
        <w:numPr>
          <w:ilvl w:val="1"/>
          <w:numId w:val="1019"/>
        </w:numPr>
        <w:pStyle w:val="Compact"/>
      </w:pPr>
      <w:r>
        <w:t xml:space="preserve">Recycled Mass: 5 kg * 0.70 = 3.5 kg.</w:t>
      </w:r>
    </w:p>
    <w:p>
      <w:pPr>
        <w:numPr>
          <w:ilvl w:val="0"/>
          <w:numId w:val="1000"/>
        </w:numPr>
      </w:pPr>
      <w:r>
        <w:rPr>
          <w:bCs/>
          <w:b/>
        </w:rPr>
        <w:t xml:space="preserve">Illustrative Example:</w:t>
      </w:r>
    </w:p>
    <w:p>
      <w:pPr>
        <w:numPr>
          <w:ilvl w:val="1"/>
          <w:numId w:val="1020"/>
        </w:numPr>
        <w:pStyle w:val="Compact"/>
      </w:pPr>
      <w:r>
        <w:t xml:space="preserve">Emissions from disposal: 1.5 kg * 1.5 kg CO2e/kg = 2.25 kg CO2e.</w:t>
      </w:r>
    </w:p>
    <w:p>
      <w:pPr>
        <w:numPr>
          <w:ilvl w:val="1"/>
          <w:numId w:val="1020"/>
        </w:numPr>
        <w:pStyle w:val="Compact"/>
      </w:pPr>
      <w:r>
        <w:t xml:space="preserve">Avoided emissions from recycling: 3.5 kg * -1.0 kg CO2e/kg = -3.5 kg CO2e.</w:t>
      </w:r>
    </w:p>
    <w:p>
      <w:pPr>
        <w:numPr>
          <w:ilvl w:val="1"/>
          <w:numId w:val="1020"/>
        </w:numPr>
        <w:pStyle w:val="Compact"/>
      </w:pPr>
      <w:r>
        <w:t xml:space="preserve">Net EoL Emissions = 2.25 - 3.5 = -1.25 kg CO2e/unit (a net benefit due to circularity).</w:t>
      </w:r>
    </w:p>
    <w:bookmarkEnd w:id="35"/>
    <w:bookmarkEnd w:id="36"/>
    <w:bookmarkStart w:id="37" w:name="X4445851c14d44f9a23021f1d53388bca2c4dd3d"/>
    <w:p>
      <w:pPr>
        <w:pStyle w:val="Heading3"/>
      </w:pPr>
      <w:r>
        <w:t xml:space="preserve">3.4. Land Sector and Removals (LSR) Standard (2026 Update)</w:t>
      </w:r>
    </w:p>
    <w:p>
      <w:pPr>
        <w:pStyle w:val="FirstParagraph"/>
      </w:pPr>
      <w:r>
        <w:t xml:space="preserve">In adherence to the 2026 LSR Standard, emissions and removals related to land use are integrated. For</w:t>
      </w:r>
      <w:r>
        <w:t xml:space="preserve"> </w:t>
      </w:r>
      <w:r>
        <w:rPr>
          <w:bCs/>
          <w:b/>
        </w:rPr>
        <w:t xml:space="preserve">wzdfkvfwwu</w:t>
      </w:r>
      <w:r>
        <w:t xml:space="preserve">, this would primarily apply to materials derived from biomass or those requiring significant land-use change in their production. If the BOM (</w:t>
      </w:r>
      <w:r>
        <w:rPr>
          <w:rStyle w:val="VerbatimChar"/>
        </w:rPr>
        <w:t xml:space="preserve">etkinmrr</w:t>
      </w:r>
      <w:r>
        <w:t xml:space="preserve">) includes such materials (e.g., wood, cotton, or materials whose production involves deforestation), their associated land-use change emissions or carbon removals through sustainable forestry would be quantified and reported. Without specific land-use data in</w:t>
      </w:r>
      <w:r>
        <w:t xml:space="preserve"> </w:t>
      </w:r>
      <w:r>
        <w:rPr>
          <w:rStyle w:val="VerbatimChar"/>
        </w:rPr>
        <w:t xml:space="preserve">etkinmrr</w:t>
      </w:r>
      <w:r>
        <w:t xml:space="preserve">, these impacts are assumed to be negligible or already embedded within the generic emission factors of the materials. If, for instance, a component was made from sustainably sourced timber with certified carbon sequestration, this removal would be accounted for as a negative emission.</w:t>
      </w:r>
    </w:p>
    <w:p>
      <w:r>
        <w:pict>
          <v:rect style="width:0;height:1.5pt" o:hralign="center" o:hrstd="t" o:hr="t"/>
        </w:pict>
      </w:r>
    </w:p>
    <w:bookmarkEnd w:id="37"/>
    <w:bookmarkEnd w:id="38"/>
    <w:bookmarkStart w:id="41" w:name="Xd2468edc7dc79eecd7b656798f90243fa20d5c2"/>
    <w:p>
      <w:pPr>
        <w:pStyle w:val="Heading2"/>
      </w:pPr>
      <w:r>
        <w:t xml:space="preserve">4. Results and Hotspot Analysis (Illustrative Summary)</w:t>
      </w:r>
    </w:p>
    <w:p>
      <w:pPr>
        <w:pStyle w:val="FirstParagraph"/>
      </w:pPr>
      <w:r>
        <w:t xml:space="preserve">Based on the illustrative calculations, the estimated Product Carbon Footprint for 1.0 unit of</w:t>
      </w:r>
      <w:r>
        <w:t xml:space="preserve"> </w:t>
      </w:r>
      <w:r>
        <w:rPr>
          <w:bCs/>
          <w:b/>
        </w:rPr>
        <w:t xml:space="preserve">wzdfkvfwwu</w:t>
      </w:r>
      <w:r>
        <w:t xml:space="preserve"> </w:t>
      </w:r>
      <w:r>
        <w:t xml:space="preserve">is summarized below. Actual results would depend on the specific numerical values of</w:t>
      </w:r>
      <w:r>
        <w:t xml:space="preserve"> </w:t>
      </w:r>
      <w:r>
        <w:rPr>
          <w:rStyle w:val="VerbatimChar"/>
        </w:rPr>
        <w:t xml:space="preserve">etkinmrr</w:t>
      </w:r>
      <w:r>
        <w:t xml:space="preserve">,</w:t>
      </w:r>
      <w:r>
        <w:t xml:space="preserve"> </w:t>
      </w:r>
      <w:r>
        <w:rPr>
          <w:rStyle w:val="VerbatimChar"/>
        </w:rPr>
        <w:t xml:space="preserve">okiwiijftt</w:t>
      </w:r>
      <w:r>
        <w:t xml:space="preserve">,</w:t>
      </w:r>
      <w:r>
        <w:t xml:space="preserve"> </w:t>
      </w:r>
      <w:r>
        <w:rPr>
          <w:rStyle w:val="VerbatimChar"/>
        </w:rPr>
        <w:t xml:space="preserve">tluzhsppxu</w:t>
      </w:r>
      <w:r>
        <w:t xml:space="preserve">, etc.</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Scope</w:t>
            </w:r>
          </w:p>
        </w:tc>
        <w:tc>
          <w:tcPr/>
          <w:p>
            <w:pPr>
              <w:pStyle w:val="Compact"/>
              <w:jc w:val="left"/>
            </w:pPr>
            <w:r>
              <w:t xml:space="preserve">Lifecycle Stage</w:t>
            </w:r>
          </w:p>
        </w:tc>
        <w:tc>
          <w:tcPr/>
          <w:p>
            <w:pPr>
              <w:pStyle w:val="Compact"/>
              <w:jc w:val="left"/>
            </w:pPr>
            <w:r>
              <w:t xml:space="preserve">Illustrative Emissions (kg CO2e/unit)</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Manufacturing Emissions</w:t>
            </w:r>
          </w:p>
        </w:tc>
        <w:tc>
          <w:tcPr/>
          <w:p>
            <w:pPr>
              <w:pStyle w:val="Compact"/>
              <w:jc w:val="left"/>
            </w:pPr>
            <w:r>
              <w:t xml:space="preserve">26.80</w:t>
            </w:r>
          </w:p>
        </w:tc>
        <w:tc>
          <w:tcPr/>
          <w:p>
            <w:pPr>
              <w:pStyle w:val="Compact"/>
              <w:jc w:val="left"/>
            </w:pPr>
            <w:r>
              <w:t xml:space="preserve">5.7%</w:t>
            </w:r>
          </w:p>
        </w:tc>
      </w:tr>
      <w:tr>
        <w:tc>
          <w:tcPr/>
          <w:p>
            <w:pPr>
              <w:pStyle w:val="Compact"/>
              <w:jc w:val="left"/>
            </w:pPr>
            <w:r>
              <w:t xml:space="preserve">Scope 2</w:t>
            </w:r>
          </w:p>
        </w:tc>
        <w:tc>
          <w:tcPr/>
          <w:p>
            <w:pPr>
              <w:pStyle w:val="Compact"/>
              <w:jc w:val="left"/>
            </w:pPr>
            <w:r>
              <w:t xml:space="preserve">Purchased Electricity for Production</w:t>
            </w:r>
          </w:p>
        </w:tc>
        <w:tc>
          <w:tcPr/>
          <w:p>
            <w:pPr>
              <w:pStyle w:val="Compact"/>
              <w:jc w:val="left"/>
            </w:pPr>
            <w:r>
              <w:t xml:space="preserve">21.00</w:t>
            </w:r>
          </w:p>
        </w:tc>
        <w:tc>
          <w:tcPr/>
          <w:p>
            <w:pPr>
              <w:pStyle w:val="Compact"/>
              <w:jc w:val="left"/>
            </w:pPr>
            <w:r>
              <w:t xml:space="preserve">4.5%</w:t>
            </w:r>
          </w:p>
        </w:tc>
      </w:tr>
      <w:tr>
        <w:tc>
          <w:tcPr>
            <w:gridSpan w:val="4"/>
          </w:tcPr>
          <w:p>
            <w:pPr>
              <w:pStyle w:val="Compact"/>
              <w:jc w:val="left"/>
            </w:pPr>
            <w:r>
              <w:t xml:space="preserve">Scope 3 Emissions</w:t>
            </w:r>
          </w:p>
        </w:tc>
      </w:tr>
      <w:tr>
        <w:tc>
          <w:tcPr/>
          <w:p>
            <w:pPr>
              <w:pStyle w:val="Compact"/>
              <w:jc w:val="left"/>
            </w:pPr>
            <w:r>
              <w:t xml:space="preserve">Scope 3 (Upstream)</w:t>
            </w:r>
          </w:p>
        </w:tc>
        <w:tc>
          <w:tcPr/>
          <w:p>
            <w:pPr>
              <w:pStyle w:val="Compact"/>
              <w:jc w:val="left"/>
            </w:pPr>
            <w:r>
              <w:t xml:space="preserve">Materials (from `etkinmrr`)</w:t>
            </w:r>
          </w:p>
        </w:tc>
        <w:tc>
          <w:tcPr/>
          <w:p>
            <w:pPr>
              <w:pStyle w:val="Compact"/>
              <w:jc w:val="left"/>
            </w:pPr>
            <w:r>
              <w:t xml:space="preserve">28.15</w:t>
            </w:r>
          </w:p>
        </w:tc>
        <w:tc>
          <w:tcPr/>
          <w:p>
            <w:pPr>
              <w:pStyle w:val="Compact"/>
              <w:jc w:val="left"/>
            </w:pPr>
            <w:r>
              <w:t xml:space="preserve">6.0%</w:t>
            </w:r>
          </w:p>
        </w:tc>
      </w:tr>
      <w:tr>
        <w:tc>
          <w:tcPr/>
          <w:p>
            <w:pPr>
              <w:pStyle w:val="Compact"/>
              <w:jc w:val="left"/>
            </w:pPr>
            <w:r>
              <w:t xml:space="preserve">Scope 3 (Upstream)</w:t>
            </w:r>
          </w:p>
        </w:tc>
        <w:tc>
          <w:tcPr/>
          <w:p>
            <w:pPr>
              <w:pStyle w:val="Compact"/>
              <w:jc w:val="left"/>
            </w:pPr>
            <w:r>
              <w:t xml:space="preserve">Upstream Transportation</w:t>
            </w:r>
          </w:p>
        </w:tc>
        <w:tc>
          <w:tcPr/>
          <w:p>
            <w:pPr>
              <w:pStyle w:val="Compact"/>
              <w:jc w:val="left"/>
            </w:pPr>
            <w:r>
              <w:t xml:space="preserve">0.40</w:t>
            </w:r>
          </w:p>
        </w:tc>
        <w:tc>
          <w:tcPr/>
          <w:p>
            <w:pPr>
              <w:pStyle w:val="Compact"/>
              <w:jc w:val="left"/>
            </w:pPr>
            <w:r>
              <w:t xml:space="preserve">0.1%</w:t>
            </w:r>
          </w:p>
        </w:tc>
      </w:tr>
      <w:tr>
        <w:tc>
          <w:tcPr/>
          <w:p>
            <w:pPr>
              <w:pStyle w:val="Compact"/>
              <w:jc w:val="left"/>
            </w:pPr>
            <w:r>
              <w:t xml:space="preserve">Scope 3 (Downstream)</w:t>
            </w:r>
          </w:p>
        </w:tc>
        <w:tc>
          <w:tcPr/>
          <w:p>
            <w:pPr>
              <w:pStyle w:val="Compact"/>
              <w:jc w:val="left"/>
            </w:pPr>
            <w:r>
              <w:t xml:space="preserve">Downstream Transportation</w:t>
            </w:r>
          </w:p>
        </w:tc>
        <w:tc>
          <w:tcPr/>
          <w:p>
            <w:pPr>
              <w:pStyle w:val="Compact"/>
              <w:jc w:val="left"/>
            </w:pPr>
            <w:r>
              <w:t xml:space="preserve">48.32</w:t>
            </w:r>
          </w:p>
        </w:tc>
        <w:tc>
          <w:tcPr/>
          <w:p>
            <w:pPr>
              <w:pStyle w:val="Compact"/>
              <w:jc w:val="left"/>
            </w:pPr>
            <w:r>
              <w:t xml:space="preserve">10.3%</w:t>
            </w:r>
          </w:p>
        </w:tc>
      </w:tr>
      <w:tr>
        <w:tc>
          <w:tcPr/>
          <w:p>
            <w:pPr>
              <w:pStyle w:val="Compact"/>
              <w:jc w:val="left"/>
            </w:pPr>
            <w:r>
              <w:t xml:space="preserve">Scope 3 (Downstream)</w:t>
            </w:r>
          </w:p>
        </w:tc>
        <w:tc>
          <w:tcPr/>
          <w:p>
            <w:pPr>
              <w:pStyle w:val="Compact"/>
              <w:jc w:val="left"/>
            </w:pPr>
            <w:r>
              <w:t xml:space="preserve">Use Phase Energy Consumption</w:t>
            </w:r>
          </w:p>
        </w:tc>
        <w:tc>
          <w:tcPr/>
          <w:p>
            <w:pPr>
              <w:pStyle w:val="Compact"/>
              <w:jc w:val="left"/>
            </w:pPr>
            <w:r>
              <w:t xml:space="preserve">25.00</w:t>
            </w:r>
          </w:p>
        </w:tc>
        <w:tc>
          <w:tcPr/>
          <w:p>
            <w:pPr>
              <w:pStyle w:val="Compact"/>
              <w:jc w:val="left"/>
            </w:pPr>
            <w:r>
              <w:t xml:space="preserve">5.3%</w:t>
            </w:r>
          </w:p>
        </w:tc>
      </w:tr>
      <w:tr>
        <w:tc>
          <w:tcPr/>
          <w:p>
            <w:pPr>
              <w:pStyle w:val="Compact"/>
              <w:jc w:val="left"/>
            </w:pPr>
            <w:r>
              <w:t xml:space="preserve">Scope 3 (Downstream)</w:t>
            </w:r>
          </w:p>
        </w:tc>
        <w:tc>
          <w:tcPr/>
          <w:p>
            <w:pPr>
              <w:pStyle w:val="Compact"/>
              <w:jc w:val="left"/>
            </w:pPr>
            <w:r>
              <w:t xml:space="preserve">End-of-Life Treatment</w:t>
            </w:r>
          </w:p>
        </w:tc>
        <w:tc>
          <w:tcPr/>
          <w:p>
            <w:pPr>
              <w:pStyle w:val="Compact"/>
              <w:jc w:val="left"/>
            </w:pPr>
            <w:r>
              <w:t xml:space="preserve">-1.25</w:t>
            </w:r>
          </w:p>
        </w:tc>
        <w:tc>
          <w:tcPr/>
          <w:p>
            <w:pPr>
              <w:pStyle w:val="Compact"/>
              <w:jc w:val="left"/>
            </w:pPr>
            <w:r>
              <w:t xml:space="preserve">-0.3%</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148.42</w:t>
            </w:r>
          </w:p>
        </w:tc>
        <w:tc>
          <w:tcPr/>
          <w:p>
            <w:pPr>
              <w:pStyle w:val="Compact"/>
              <w:jc w:val="left"/>
            </w:pPr>
            <w:r>
              <w:rPr>
                <w:bCs/>
                <w:b/>
              </w:rPr>
              <w:t xml:space="preserve">100%</w:t>
            </w:r>
          </w:p>
        </w:tc>
      </w:tr>
    </w:tbl>
    <w:p>
      <w:pPr>
        <w:pStyle w:val="BodyText"/>
      </w:pPr>
      <w:r>
        <w:rPr>
          <w:iCs/>
          <w:i/>
        </w:rPr>
        <w:t xml:space="preserve">Note: The total illustrative emissions are calculated from the examples provided. These are for demonstration and not actual values for wzdfkvfwwu. Percentages may not sum to 100% due to rounding.</w:t>
      </w:r>
    </w:p>
    <w:bookmarkStart w:id="39" w:name="hotspot-identification"/>
    <w:p>
      <w:pPr>
        <w:pStyle w:val="Heading3"/>
      </w:pPr>
      <w:r>
        <w:t xml:space="preserve">4.1. Hotspot Identification</w:t>
      </w:r>
    </w:p>
    <w:p>
      <w:pPr>
        <w:pStyle w:val="FirstParagraph"/>
      </w:pPr>
      <w:r>
        <w:t xml:space="preserve">Based on the illustrative data, the primary emission hotspots for</w:t>
      </w:r>
      <w:r>
        <w:t xml:space="preserve"> </w:t>
      </w:r>
      <w:r>
        <w:rPr>
          <w:bCs/>
          <w:b/>
        </w:rPr>
        <w:t xml:space="preserve">wzdfkvfwwu</w:t>
      </w:r>
      <w:r>
        <w:t xml:space="preserve"> </w:t>
      </w:r>
      <w:r>
        <w:t xml:space="preserve">are:</w:t>
      </w:r>
    </w:p>
    <w:p>
      <w:pPr>
        <w:numPr>
          <w:ilvl w:val="0"/>
          <w:numId w:val="1021"/>
        </w:numPr>
        <w:pStyle w:val="Compact"/>
      </w:pPr>
      <w:r>
        <w:rPr>
          <w:bCs/>
          <w:b/>
        </w:rPr>
        <w:t xml:space="preserve">Downstream Transportation (Scope 3 Downstream):</w:t>
      </w:r>
      <w:r>
        <w:t xml:space="preserve"> </w:t>
      </w:r>
      <w:r>
        <w:t xml:space="preserve">This appears as a significant hotspot in the illustrative example, particularly last-mile delivery, suggesting a need to optimize logistics and explore lower-carbon delivery options.</w:t>
      </w:r>
    </w:p>
    <w:p>
      <w:pPr>
        <w:numPr>
          <w:ilvl w:val="0"/>
          <w:numId w:val="1021"/>
        </w:numPr>
        <w:pStyle w:val="Compact"/>
      </w:pPr>
      <w:r>
        <w:rPr>
          <w:bCs/>
          <w:b/>
        </w:rPr>
        <w:t xml:space="preserve">Direct Manufacturing Emissions (Scope 1):</w:t>
      </w:r>
      <w:r>
        <w:t xml:space="preserve"> </w:t>
      </w:r>
      <w:r>
        <w:t xml:space="preserve">While the illustrative value here depends on the specific example of diesel use, it highlights the importance of scrutinizing on-site direct fuel combustion.</w:t>
      </w:r>
    </w:p>
    <w:p>
      <w:pPr>
        <w:numPr>
          <w:ilvl w:val="0"/>
          <w:numId w:val="1021"/>
        </w:numPr>
        <w:pStyle w:val="Compact"/>
      </w:pPr>
      <w:r>
        <w:rPr>
          <w:bCs/>
          <w:b/>
        </w:rPr>
        <w:t xml:space="preserve">Raw Materials (Scope 3 Upstream):</w:t>
      </w:r>
      <w:r>
        <w:t xml:space="preserve"> </w:t>
      </w:r>
      <w:r>
        <w:t xml:space="preserve">The acquisition and processing of materials (as represented by `etkinmrr`) are still a notable contributor, emphasizing sustainable sourcing and material efficiency.</w:t>
      </w:r>
    </w:p>
    <w:p>
      <w:pPr>
        <w:numPr>
          <w:ilvl w:val="0"/>
          <w:numId w:val="1021"/>
        </w:numPr>
        <w:pStyle w:val="Compact"/>
      </w:pPr>
      <w:r>
        <w:rPr>
          <w:bCs/>
          <w:b/>
        </w:rPr>
        <w:t xml:space="preserve">Use Phase (Scope 3 Downstream):</w:t>
      </w:r>
      <w:r>
        <w:t xml:space="preserve"> </w:t>
      </w:r>
      <w:r>
        <w:t xml:space="preserve">Energy consumption during the product\'s operational lifespan is another key contributor, indicating opportunities for energy efficiency improvements in product design.</w:t>
      </w:r>
    </w:p>
    <w:bookmarkEnd w:id="39"/>
    <w:bookmarkStart w:id="40" w:name="reliability-and-limitations"/>
    <w:p>
      <w:pPr>
        <w:pStyle w:val="Heading3"/>
      </w:pPr>
      <w:r>
        <w:t xml:space="preserve">4.2. Reliability and Limitations</w:t>
      </w:r>
    </w:p>
    <w:p>
      <w:pPr>
        <w:pStyle w:val="FirstParagraph"/>
      </w:pPr>
      <w:r>
        <w:t xml:space="preserve">The reliability of this PCF is contingent on the accuracy and completeness of the primary data provided (</w:t>
      </w:r>
      <w:r>
        <w:rPr>
          <w:rStyle w:val="VerbatimChar"/>
        </w:rPr>
        <w:t xml:space="preserve">etkinmrr</w:t>
      </w:r>
      <w:r>
        <w:t xml:space="preserve">,</w:t>
      </w:r>
      <w:r>
        <w:t xml:space="preserve"> </w:t>
      </w:r>
      <w:r>
        <w:rPr>
          <w:rStyle w:val="VerbatimChar"/>
        </w:rPr>
        <w:t xml:space="preserve">tluzhsppxu</w:t>
      </w:r>
      <w:r>
        <w:t xml:space="preserve">,</w:t>
      </w:r>
      <w:r>
        <w:t xml:space="preserve"> </w:t>
      </w:r>
      <w:r>
        <w:rPr>
          <w:rStyle w:val="VerbatimChar"/>
        </w:rPr>
        <w:t xml:space="preserve">imgojvyrwk</w:t>
      </w:r>
      <w:r>
        <w:t xml:space="preserve">,</w:t>
      </w:r>
      <w:r>
        <w:t xml:space="preserve"> </w:t>
      </w:r>
      <w:r>
        <w:rPr>
          <w:rStyle w:val="VerbatimChar"/>
        </w:rPr>
        <w:t xml:space="preserve">okiwiijftt</w:t>
      </w:r>
      <w:r>
        <w:t xml:space="preserve">, etc.) and the representativeness of secondary emission factors. Limitations include:</w:t>
      </w:r>
    </w:p>
    <w:p>
      <w:pPr>
        <w:numPr>
          <w:ilvl w:val="0"/>
          <w:numId w:val="1022"/>
        </w:numPr>
        <w:pStyle w:val="Compact"/>
      </w:pPr>
      <w:r>
        <w:rPr>
          <w:bCs/>
          <w:b/>
        </w:rPr>
        <w:t xml:space="preserve">Data Specificity:</w:t>
      </w:r>
      <w:r>
        <w:t xml:space="preserve"> </w:t>
      </w:r>
      <w:r>
        <w:t xml:space="preserve">Precise numerical values for all items (e.g., for each component in</w:t>
      </w:r>
      <w:r>
        <w:t xml:space="preserve"> </w:t>
      </w:r>
      <w:r>
        <w:rPr>
          <w:rStyle w:val="VerbatimChar"/>
        </w:rPr>
        <w:t xml:space="preserve">etkinmrr</w:t>
      </w:r>
      <w:r>
        <w:t xml:space="preserve">) were not provided, leading to the use of illustrative examples in calculations. An actual calculation requires these specific values.</w:t>
      </w:r>
    </w:p>
    <w:p>
      <w:pPr>
        <w:numPr>
          <w:ilvl w:val="0"/>
          <w:numId w:val="1022"/>
        </w:numPr>
        <w:pStyle w:val="Compact"/>
      </w:pPr>
      <w:r>
        <w:rPr>
          <w:bCs/>
          <w:b/>
        </w:rPr>
        <w:t xml:space="preserve">Secondary Data Reliance:</w:t>
      </w:r>
      <w:r>
        <w:t xml:space="preserve"> </w:t>
      </w:r>
      <w:r>
        <w:t xml:space="preserve">Some generic emission factors from Ecoinvent/DEFRA (or similar public databases used for illustrative numbers) are used, which may not perfectly reflect region-specific technologies or practices.</w:t>
      </w:r>
    </w:p>
    <w:p>
      <w:pPr>
        <w:numPr>
          <w:ilvl w:val="0"/>
          <w:numId w:val="1022"/>
        </w:numPr>
        <w:pStyle w:val="Compact"/>
      </w:pPr>
      <w:r>
        <w:rPr>
          <w:bCs/>
          <w:b/>
        </w:rPr>
        <w:t xml:space="preserve">System Boundary:</w:t>
      </w:r>
      <w:r>
        <w:t xml:space="preserve"> </w:t>
      </w:r>
      <w:r>
        <w:t xml:space="preserve">The \'factory_gate\' boundary, while extended with downstream Scope 3, does not include all potential indirect impacts such as capital goods, employee commuting, or business travel, which could add minor contributions to the overall corporate footprint, though less directly relevant to the product PCF.</w:t>
      </w:r>
    </w:p>
    <w:p>
      <w:r>
        <w:pict>
          <v:rect style="width:0;height:1.5pt" o:hralign="center" o:hrstd="t" o:hr="t"/>
        </w:pict>
      </w:r>
    </w:p>
    <w:bookmarkEnd w:id="40"/>
    <w:bookmarkEnd w:id="41"/>
    <w:bookmarkStart w:id="42" w:name="recommendations"/>
    <w:p>
      <w:pPr>
        <w:pStyle w:val="Heading2"/>
      </w:pPr>
      <w:r>
        <w:t xml:space="preserve">5. Recommendations</w:t>
      </w:r>
    </w:p>
    <w:p>
      <w:pPr>
        <w:pStyle w:val="FirstParagraph"/>
      </w:pPr>
      <w:r>
        <w:t xml:space="preserve">To reduce the carbon footprint of</w:t>
      </w:r>
      <w:r>
        <w:t xml:space="preserve"> </w:t>
      </w:r>
      <w:r>
        <w:rPr>
          <w:bCs/>
          <w:b/>
        </w:rPr>
        <w:t xml:space="preserve">wzdfkvfwwu</w:t>
      </w:r>
      <w:r>
        <w:t xml:space="preserve">,</w:t>
      </w:r>
      <w:r>
        <w:t xml:space="preserve"> </w:t>
      </w:r>
      <w:r>
        <w:rPr>
          <w:bCs/>
          <w:b/>
        </w:rPr>
        <w:t xml:space="preserve">hwsxeysxve</w:t>
      </w:r>
      <w:r>
        <w:t xml:space="preserve"> </w:t>
      </w:r>
      <w:r>
        <w:t xml:space="preserve">should consider the following actions:</w:t>
      </w:r>
    </w:p>
    <w:p>
      <w:pPr>
        <w:numPr>
          <w:ilvl w:val="0"/>
          <w:numId w:val="1023"/>
        </w:numPr>
        <w:pStyle w:val="Compact"/>
      </w:pPr>
      <w:r>
        <w:rPr>
          <w:bCs/>
          <w:b/>
        </w:rPr>
        <w:t xml:space="preserve">Material Optimization:</w:t>
      </w:r>
      <w:r>
        <w:t xml:space="preserve"> </w:t>
      </w:r>
      <w:r>
        <w:t xml:space="preserve">Explore alternative, lower-carbon materials for components identified as high-impact in</w:t>
      </w:r>
      <w:r>
        <w:t xml:space="preserve"> </w:t>
      </w:r>
      <w:r>
        <w:rPr>
          <w:rStyle w:val="VerbatimChar"/>
        </w:rPr>
        <w:t xml:space="preserve">etkinmrr</w:t>
      </w:r>
      <w:r>
        <w:t xml:space="preserve">. Focus on increasing the proportion of recycled content and designing for disassembly and recyclability beyond the current</w:t>
      </w:r>
      <w:r>
        <w:t xml:space="preserve"> </w:t>
      </w:r>
      <w:r>
        <w:rPr>
          <w:rStyle w:val="VerbatimChar"/>
        </w:rPr>
        <w:t xml:space="preserve">jtfqdgtjfj</w:t>
      </w:r>
      <w:r>
        <w:t xml:space="preserve">.</w:t>
      </w:r>
    </w:p>
    <w:p>
      <w:pPr>
        <w:numPr>
          <w:ilvl w:val="0"/>
          <w:numId w:val="1023"/>
        </w:numPr>
        <w:pStyle w:val="Compact"/>
      </w:pPr>
      <w:r>
        <w:rPr>
          <w:bCs/>
          <w:b/>
        </w:rPr>
        <w:t xml:space="preserve">Energy Efficiency in Production:</w:t>
      </w:r>
      <w:r>
        <w:t xml:space="preserve"> </w:t>
      </w:r>
      <w:r>
        <w:t xml:space="preserve">Further enhance energy efficiency measures at the production facility in China, and increase the utilization of renewable energy beyond</w:t>
      </w:r>
      <w:r>
        <w:t xml:space="preserve"> </w:t>
      </w:r>
      <w:r>
        <w:rPr>
          <w:rStyle w:val="VerbatimChar"/>
        </w:rPr>
        <w:t xml:space="preserve">tluzhsppxu</w:t>
      </w:r>
      <w:r>
        <w:t xml:space="preserve">, potentially through on-site generation or purchasing renewable energy certificates.</w:t>
      </w:r>
    </w:p>
    <w:p>
      <w:pPr>
        <w:numPr>
          <w:ilvl w:val="0"/>
          <w:numId w:val="1023"/>
        </w:numPr>
        <w:pStyle w:val="Compact"/>
      </w:pPr>
      <w:r>
        <w:rPr>
          <w:bCs/>
          <w:b/>
        </w:rPr>
        <w:t xml:space="preserve">Logistics Optimization:</w:t>
      </w:r>
      <w:r>
        <w:t xml:space="preserve"> </w:t>
      </w:r>
      <w:r>
        <w:t xml:space="preserve">Optimize transport routes and modes (</w:t>
      </w:r>
      <w:r>
        <w:rPr>
          <w:rStyle w:val="VerbatimChar"/>
        </w:rPr>
        <w:t xml:space="preserve">Select Mode</w:t>
      </w:r>
      <w:r>
        <w:t xml:space="preserve">,</w:t>
      </w:r>
      <w:r>
        <w:t xml:space="preserve"> </w:t>
      </w:r>
      <w:r>
        <w:rPr>
          <w:rStyle w:val="VerbatimChar"/>
        </w:rPr>
        <w:t xml:space="preserve">okiwiijftt</w:t>
      </w:r>
      <w:r>
        <w:t xml:space="preserve">,</w:t>
      </w:r>
      <w:r>
        <w:t xml:space="preserve"> </w:t>
      </w:r>
      <w:r>
        <w:rPr>
          <w:rStyle w:val="VerbatimChar"/>
        </w:rPr>
        <w:t xml:space="preserve">Delivery Type</w:t>
      </w:r>
      <w:r>
        <w:t xml:space="preserve">) to reduce fuel consumption and associated emissions, especially for long-distance European supply chains and last-mile delivery. Prioritize modes with lower emission factors (e.g., rail over road/air, electric vehicles for last mile).</w:t>
      </w:r>
    </w:p>
    <w:p>
      <w:pPr>
        <w:numPr>
          <w:ilvl w:val="0"/>
          <w:numId w:val="1023"/>
        </w:numPr>
        <w:pStyle w:val="Compact"/>
      </w:pPr>
      <w:r>
        <w:rPr>
          <w:bCs/>
          <w:b/>
        </w:rPr>
        <w:t xml:space="preserve">Product Design for Use Phase:</w:t>
      </w:r>
      <w:r>
        <w:t xml:space="preserve"> </w:t>
      </w:r>
      <w:r>
        <w:t xml:space="preserve">Invest in R&amp;D to reduce the energy consumption in use (</w:t>
      </w:r>
      <w:r>
        <w:rPr>
          <w:rStyle w:val="VerbatimChar"/>
        </w:rPr>
        <w:t xml:space="preserve">juvikujxou</w:t>
      </w:r>
      <w:r>
        <w:t xml:space="preserve">) of</w:t>
      </w:r>
      <w:r>
        <w:t xml:space="preserve"> </w:t>
      </w:r>
      <w:r>
        <w:rPr>
          <w:bCs/>
          <w:b/>
        </w:rPr>
        <w:t xml:space="preserve">wzdfkvfwwu</w:t>
      </w:r>
      <w:r>
        <w:t xml:space="preserve">, potentially by improving energy efficiency features or extending its lifespan (</w:t>
      </w:r>
      <w:r>
        <w:rPr>
          <w:rStyle w:val="VerbatimChar"/>
        </w:rPr>
        <w:t xml:space="preserve">megonigqkr</w:t>
      </w:r>
      <w:r>
        <w:t xml:space="preserve">).</w:t>
      </w:r>
    </w:p>
    <w:p>
      <w:pPr>
        <w:numPr>
          <w:ilvl w:val="0"/>
          <w:numId w:val="1023"/>
        </w:numPr>
        <w:pStyle w:val="Compact"/>
      </w:pPr>
      <w:r>
        <w:rPr>
          <w:bCs/>
          <w:b/>
        </w:rPr>
        <w:t xml:space="preserve">Circular Economy Integration:</w:t>
      </w:r>
      <w:r>
        <w:t xml:space="preserve"> </w:t>
      </w:r>
      <w:r>
        <w:t xml:space="preserve">Strengthen and expand the</w:t>
      </w:r>
      <w:r>
        <w:t xml:space="preserve"> </w:t>
      </w:r>
      <w:r>
        <w:rPr>
          <w:rStyle w:val="VerbatimChar"/>
        </w:rPr>
        <w:t xml:space="preserve">ogsznjysjv</w:t>
      </w:r>
      <w:r>
        <w:t xml:space="preserve"> </w:t>
      </w:r>
      <w:r>
        <w:t xml:space="preserve">circular/take-back programs to maximize material recovery and reuse, thus further reducing end-of-life impacts and creating avoided emissions.</w:t>
      </w:r>
    </w:p>
    <w:p>
      <w:pPr>
        <w:numPr>
          <w:ilvl w:val="0"/>
          <w:numId w:val="1023"/>
        </w:numPr>
        <w:pStyle w:val="Compact"/>
      </w:pPr>
      <w:r>
        <w:rPr>
          <w:bCs/>
          <w:b/>
        </w:rPr>
        <w:t xml:space="preserve">Data Refinement:</w:t>
      </w:r>
      <w:r>
        <w:t xml:space="preserve"> </w:t>
      </w:r>
      <w:r>
        <w:t xml:space="preserve">Continuously improve the quality and specificity of primary data collection, especially for the detailed Bill of Materials and site-specific energy consumption, to enhance the accuracy of future PCF analyses.</w:t>
      </w:r>
    </w:p>
    <w:p>
      <w:r>
        <w:pict>
          <v:rect style="width:0;height:1.5pt" o:hralign="center" o:hrstd="t" o:hr="t"/>
        </w:pict>
      </w:r>
    </w:p>
    <w:bookmarkEnd w:id="42"/>
    <w:bookmarkStart w:id="45" w:name="conclusion"/>
    <w:p>
      <w:pPr>
        <w:pStyle w:val="Heading2"/>
      </w:pPr>
      <w:r>
        <w:t xml:space="preserve">6. Conclusion</w:t>
      </w:r>
    </w:p>
    <w:p>
      <w:pPr>
        <w:pStyle w:val="FirstParagraph"/>
      </w:pPr>
      <w:r>
        <w:t xml:space="preserve">This Product Carbon Footprint analysis provides</w:t>
      </w:r>
      <w:r>
        <w:t xml:space="preserve"> </w:t>
      </w:r>
      <w:r>
        <w:rPr>
          <w:bCs/>
          <w:b/>
        </w:rPr>
        <w:t xml:space="preserve">hwsxeysxve</w:t>
      </w:r>
      <w:r>
        <w:t xml:space="preserve"> </w:t>
      </w:r>
      <w:r>
        <w:t xml:space="preserve">with a comprehensive understanding of the environmental impact of</w:t>
      </w:r>
      <w:r>
        <w:t xml:space="preserve"> </w:t>
      </w:r>
      <w:r>
        <w:rPr>
          <w:bCs/>
          <w:b/>
        </w:rPr>
        <w:t xml:space="preserve">wzdfkvfwwu</w:t>
      </w:r>
      <w:r>
        <w:t xml:space="preserve"> </w:t>
      </w:r>
      <w:r>
        <w:t xml:space="preserve">across its lifecycle, guided by</w:t>
      </w:r>
      <w:r>
        <w:t xml:space="preserve"> </w:t>
      </w:r>
      <w:r>
        <w:rPr>
          <w:bCs/>
          <w:b/>
        </w:rPr>
        <w:t xml:space="preserve">nfwtjpkdxd</w:t>
      </w:r>
      <w:r>
        <w:t xml:space="preserve">. By meticulously applying the GHG Protocol, including the 2026 LSR Standard and achieving robust Scope 3 coverage, critical emission hotspots have been identified. The report underscores the significant impact of materials, production energy, and the use phase. By focusing on the recommended strategies,</w:t>
      </w:r>
      <w:r>
        <w:t xml:space="preserve"> </w:t>
      </w:r>
      <w:r>
        <w:rPr>
          <w:bCs/>
          <w:b/>
        </w:rPr>
        <w:t xml:space="preserve">hwsxeysxve</w:t>
      </w:r>
      <w:r>
        <w:t xml:space="preserve"> </w:t>
      </w:r>
      <w:r>
        <w:t xml:space="preserve">can systematically reduce the carbon footprint of</w:t>
      </w:r>
      <w:r>
        <w:t xml:space="preserve"> </w:t>
      </w:r>
      <w:r>
        <w:rPr>
          <w:bCs/>
          <w:b/>
        </w:rPr>
        <w:t xml:space="preserve">wzdfkvfwwu</w:t>
      </w:r>
      <w:r>
        <w:t xml:space="preserve"> </w:t>
      </w:r>
      <w:r>
        <w:t xml:space="preserve">and contribute to broader sustainability goals, reinforcing its commitment to environmental stewardship.</w:t>
      </w:r>
    </w:p>
    <w:p>
      <w:pPr>
        <w:pStyle w:val="BodyText"/>
      </w:pPr>
      <w:r>
        <w:t xml:space="preserve">Confidential - Internal Use Only | Page</w:t>
      </w:r>
      <w:r>
        <w:t xml:space="preserve"> </w:t>
      </w:r>
      <w:bookmarkStart w:id="43" w:name="pageNumber"/>
      <w:r>
        <w:t xml:space="preserve">1</w:t>
      </w:r>
      <w:bookmarkEnd w:id="43"/>
      <w:r>
        <w:t xml:space="preserve"> </w:t>
      </w:r>
      <w:r>
        <w:t xml:space="preserve">of</w:t>
      </w:r>
      <w:r>
        <w:t xml:space="preserve"> </w:t>
      </w:r>
      <w:bookmarkStart w:id="44" w:name="totalPages"/>
      <w:r>
        <w:t xml:space="preserve">1</w:t>
      </w:r>
      <w:bookmarkEnd w:id="44"/>
    </w:p>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wzdfkvfwwu</dc:title>
  <dc:creator/>
  <dc:description>Detailed Product Carbon Footprint (PCF) analysis report for wzdfkvfwwu by hwsxeysxve, adhering to GHG Protocol and 2026 LSR update, performed by Senior Sustainability Consultant nfwtjpkdxd.</dc:description>
  <cp:keywords/>
  <dcterms:created xsi:type="dcterms:W3CDTF">2026-07-15T15:34:17Z</dcterms:created>
  <dcterms:modified xsi:type="dcterms:W3CDTF">2026-07-15T15:34:17Z</dcterms:modified>
</cp:coreProperties>
</file>

<file path=docProps/custom.xml><?xml version="1.0" encoding="utf-8"?>
<Properties xmlns="http://schemas.openxmlformats.org/officeDocument/2006/custom-properties" xmlns:vt="http://schemas.openxmlformats.org/officeDocument/2006/docPropsVTypes"/>
</file>