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wydzqdhxpn</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wydzqdhxpn"/>
    <w:p>
      <w:pPr>
        <w:pStyle w:val="Heading2"/>
      </w:pPr>
      <w:r>
        <w:t xml:space="preserve">For: wydzqdhxpn</w:t>
      </w:r>
    </w:p>
    <w:p>
      <w:pPr>
        <w:pStyle w:val="FirstParagraph"/>
      </w:pPr>
      <w:r>
        <w:rPr>
          <w:bCs/>
          <w:b/>
        </w:rPr>
        <w:t xml:space="preserve">Company Name:</w:t>
      </w:r>
      <w:r>
        <w:t xml:space="preserve"> </w:t>
      </w:r>
      <w:r>
        <w:t xml:space="preserve">ufhwnqzghl</w:t>
      </w:r>
    </w:p>
    <w:p>
      <w:pPr>
        <w:pStyle w:val="BodyText"/>
      </w:pPr>
      <w:r>
        <w:rPr>
          <w:bCs/>
          <w:b/>
        </w:rPr>
        <w:t xml:space="preserve">Senior Sustainability Consultant:</w:t>
      </w:r>
      <w:r>
        <w:t xml:space="preserve"> </w:t>
      </w:r>
      <w:r>
        <w:t xml:space="preserve">girpnwfihv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23,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Product Carbon Footprint (PCF) analysis, performed by girpnwfihv for ufhwnqzghl\'s product "wydzqdhxpn", provides a comprehensive assessment of greenhouse gas (GHG) emissions across its lifecycle. Adhering to the GHG Protocol, this report quantifies emissions from raw material extraction, manufacturing, transportation, the product\'s use phase, and its end-of-life. The total carbon footprint for one functional unit of "wydzqdhxpn" is calculated to be 7.15 kg CO2e. Key hotspots identified include material production and the use phase, indicating areas for potential emission reduction strategies.</w:t>
      </w:r>
    </w:p>
    <w:bookmarkEnd w:id="23"/>
    <w:bookmarkStart w:id="24" w:name="introduction"/>
    <w:p>
      <w:pPr>
        <w:pStyle w:val="Heading2"/>
      </w:pPr>
      <w:r>
        <w:t xml:space="preserve">2. Introduction</w:t>
      </w:r>
    </w:p>
    <w:p>
      <w:pPr>
        <w:pStyle w:val="FirstParagraph"/>
      </w:pPr>
      <w:r>
        <w:t xml:space="preserve">In an era of increasing environmental awareness and stringent regulations, understanding the environmental impact of products is paramount. This report details the Product Carbon Footprint (PCF) for ufhwnqzghl\'s product, "wydzqdhxpn". The analysis is conducted by girpnwfihv, a Senior Sustainability Consultant specializing in GHG Protocol, and aims to provide actionable insights for reducing the product\'s environmental impact throughout its value chain.</w:t>
      </w:r>
    </w:p>
    <w:bookmarkEnd w:id="24"/>
    <w:bookmarkStart w:id="25" w:name="methodology"/>
    <w:p>
      <w:pPr>
        <w:pStyle w:val="Heading2"/>
      </w:pPr>
      <w:r>
        <w:t xml:space="preserve">3. Methodology</w:t>
      </w:r>
    </w:p>
    <w:p>
      <w:pPr>
        <w:pStyle w:val="FirstParagraph"/>
      </w:pPr>
      <w:r>
        <w:t xml:space="preserve">This Product Carbon Footprint (PCF) analysis follows a structured, five-step methodology as prescribed by industry best practices and aligned with the GHG Protocol:</w:t>
      </w:r>
    </w:p>
    <w:p>
      <w:pPr>
        <w:numPr>
          <w:ilvl w:val="0"/>
          <w:numId w:val="1001"/>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Identifying all relevant processes and stages within the product\'s lifecycle.</w:t>
      </w:r>
    </w:p>
    <w:p>
      <w:pPr>
        <w:numPr>
          <w:ilvl w:val="0"/>
          <w:numId w:val="1001"/>
        </w:numPr>
        <w:pStyle w:val="Compact"/>
      </w:pPr>
      <w:r>
        <w:rPr>
          <w:bCs/>
          <w:b/>
        </w:rPr>
        <w:t xml:space="preserve">Collect Data:</w:t>
      </w:r>
      <w:r>
        <w:t xml:space="preserve"> </w:t>
      </w:r>
      <w:r>
        <w:t xml:space="preserve">Gathering primary and secondary data points for material inputs, energy consumption, and transportation.</w:t>
      </w:r>
    </w:p>
    <w:p>
      <w:pPr>
        <w:numPr>
          <w:ilvl w:val="0"/>
          <w:numId w:val="1001"/>
        </w:numPr>
        <w:pStyle w:val="Compact"/>
      </w:pPr>
      <w:r>
        <w:rPr>
          <w:bCs/>
          <w:b/>
        </w:rPr>
        <w:t xml:space="preserve">Calculate Emissions:</w:t>
      </w:r>
      <w:r>
        <w:t xml:space="preserve"> </w:t>
      </w:r>
      <w:r>
        <w:t xml:space="preserve">Quantifying GHG emissions by multiplying activity data by appropriate emission factors.</w:t>
      </w:r>
    </w:p>
    <w:p>
      <w:pPr>
        <w:numPr>
          <w:ilvl w:val="0"/>
          <w:numId w:val="1001"/>
        </w:numPr>
        <w:pStyle w:val="Compact"/>
      </w:pPr>
      <w:r>
        <w:rPr>
          <w:bCs/>
          <w:b/>
        </w:rPr>
        <w:t xml:space="preserve">Review &amp; Report:</w:t>
      </w:r>
      <w:r>
        <w:t xml:space="preserve"> </w:t>
      </w:r>
      <w:r>
        <w:t xml:space="preserve">Identifying emission hotspots, assessing data reliability, and presenting findings in a clear and transparent manner.</w:t>
      </w:r>
    </w:p>
    <w:p>
      <w:pPr>
        <w:pStyle w:val="FirstParagraph"/>
      </w:pPr>
      <w:r>
        <w:t xml:space="preserve">Emissions are categorized into Scope 1 (direct emissions), Scope 2 (purchased energy emissions), and Scope 3 (value chain emissions) in accordance with the GHG Protocol. Furthermore, the analysis considers the 2026 Land Sector and Removals (LSR) Standard for land use and carbon removals where applicable. We also ensured at least 95% coverage for Scope 3 reporting, aligning with the stringent 2026 requirements.</w:t>
      </w:r>
    </w:p>
    <w:bookmarkEnd w:id="25"/>
    <w:bookmarkStart w:id="30" w:name="scope-definition"/>
    <w:p>
      <w:pPr>
        <w:pStyle w:val="Heading2"/>
      </w:pPr>
      <w:r>
        <w:t xml:space="preserve">4. Scope Definition</w:t>
      </w:r>
    </w:p>
    <w:bookmarkStart w:id="26" w:name="functional-unit"/>
    <w:p>
      <w:pPr>
        <w:pStyle w:val="Heading3"/>
      </w:pPr>
      <w:r>
        <w:t xml:space="preserve">4.1. Functional Unit</w:t>
      </w:r>
    </w:p>
    <w:p>
      <w:pPr>
        <w:pStyle w:val="FirstParagraph"/>
      </w:pPr>
      <w:r>
        <w:t xml:space="preserve">The functional unit for this PCF analysis is defined as</w:t>
      </w:r>
      <w:r>
        <w:t xml:space="preserve"> </w:t>
      </w:r>
      <w:r>
        <w:rPr>
          <w:bCs/>
          <w:b/>
        </w:rPr>
        <w:t xml:space="preserve">1.0 unit of wydzqdhxpn</w:t>
      </w:r>
      <w:r>
        <w:t xml:space="preserve">. This unit serves as the reference basis for all quantified environmental impacts.</w:t>
      </w:r>
    </w:p>
    <w:bookmarkEnd w:id="26"/>
    <w:bookmarkStart w:id="27" w:name="system-boundary"/>
    <w:p>
      <w:pPr>
        <w:pStyle w:val="Heading3"/>
      </w:pPr>
      <w:r>
        <w:t xml:space="preserve">4.2. System Boundary</w:t>
      </w:r>
    </w:p>
    <w:p>
      <w:pPr>
        <w:pStyle w:val="FirstParagraph"/>
      </w:pPr>
      <w:r>
        <w:t xml:space="preserve">The system boundary for this analysis is "Cradle-to-Grave," encompassing all stages from raw material extraction to end-of-life, to provide a holistic view of the product\'s impact. While the "factory_gate" is specified as a primary focus for attributing direct manufacturing emissions (Scope 1 &amp; 2 of the manufacturing facility), the analysis extends to cover downstream impacts such as the use phase and end-of-life scenarios, consistent with the requirements for comprehensive GHG Protocol Scope 3 reporting.</w:t>
      </w:r>
    </w:p>
    <w:bookmarkEnd w:id="27"/>
    <w:bookmarkStart w:id="28" w:name="geographic-scope"/>
    <w:p>
      <w:pPr>
        <w:pStyle w:val="Heading3"/>
      </w:pPr>
      <w:r>
        <w:t xml:space="preserve">4.3.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inbound logistics to China)</w:t>
      </w:r>
    </w:p>
    <w:bookmarkEnd w:id="28"/>
    <w:bookmarkStart w:id="29" w:name="accounting-standard"/>
    <w:p>
      <w:pPr>
        <w:pStyle w:val="Heading3"/>
      </w:pPr>
      <w:r>
        <w:t xml:space="preserve">4.4. Accounting Standard</w:t>
      </w:r>
    </w:p>
    <w:p>
      <w:pPr>
        <w:pStyle w:val="FirstParagraph"/>
      </w:pPr>
      <w:r>
        <w:t xml:space="preserve">All calculations and reporting adhere to the principles and requirements of the</w:t>
      </w:r>
      <w:r>
        <w:t xml:space="preserve"> </w:t>
      </w:r>
      <w:r>
        <w:rPr>
          <w:bCs/>
          <w:b/>
        </w:rPr>
        <w:t xml:space="preserve">GHG Protocol</w:t>
      </w:r>
      <w:r>
        <w:t xml:space="preserve">, specifically the Product Life Cycle Accounting and Reporting Standard, and aligns with the Corporate Value Chain (Scope 3) Accounting and Reporting Standard.</w:t>
      </w:r>
    </w:p>
    <w:bookmarkEnd w:id="29"/>
    <w:bookmarkEnd w:id="30"/>
    <w:bookmarkStart w:id="36" w:name="X4255dd7b4e48eb937d6e7f560853e6fce7a2ab8"/>
    <w:p>
      <w:pPr>
        <w:pStyle w:val="Heading2"/>
      </w:pPr>
      <w:r>
        <w:t xml:space="preserve">5. Data Collection and Lifecycle Mapping (Steps 2 &amp; 3)</w:t>
      </w:r>
    </w:p>
    <w:bookmarkStart w:id="31" w:name="detailed-bill-of-materials-bom-analysis"/>
    <w:p>
      <w:pPr>
        <w:pStyle w:val="Heading3"/>
      </w:pPr>
      <w:r>
        <w:t xml:space="preserve">5.1. Detailed Bill of Materials (BOM) Analysis</w:t>
      </w:r>
    </w:p>
    <w:p>
      <w:pPr>
        <w:pStyle w:val="FirstParagraph"/>
      </w:pPr>
      <w:r>
        <w:t xml:space="preserve">The following table presents the detailed Bill of Materials for wydzqdhxpn, including material quantities and their associated carbon emissions. These figures are crucial for calculating the upstream (Scope 3) emissions related to material extraction and production. The "Total Carbon (kgCO2e)" for each item reflects the emissions from its production process.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MAT005</w:t>
            </w:r>
          </w:p>
        </w:tc>
        <w:tc>
          <w:tcPr/>
          <w:p>
            <w:pPr>
              <w:pStyle w:val="Compact"/>
              <w:jc w:val="left"/>
            </w:pPr>
            <w:r>
              <w:t xml:space="preserve">Packaging Carton</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Total Material Production Emissions:</w:t>
            </w:r>
          </w:p>
        </w:tc>
        <w:tc>
          <w:tcPr/>
          <w:p>
            <w:pPr>
              <w:pStyle w:val="Compact"/>
              <w:jc w:val="left"/>
            </w:pPr>
            <w:r>
              <w:rPr>
                <w:bCs/>
                <w:b/>
              </w:rPr>
              <w:t xml:space="preserve">6.45 kg CO2e</w:t>
            </w:r>
          </w:p>
        </w:tc>
      </w:tr>
    </w:tbl>
    <w:p>
      <w:pPr>
        <w:pStyle w:val="BodyText"/>
      </w:pPr>
      <w:r>
        <w:t xml:space="preserve">The total estimated mass of the product (for transport and EoL calculations) is approximately 0.95 kg.</w:t>
      </w:r>
    </w:p>
    <w:bookmarkEnd w:id="31"/>
    <w:bookmarkStart w:id="32" w:name="production-energy-inputs"/>
    <w:p>
      <w:pPr>
        <w:pStyle w:val="Heading3"/>
      </w:pPr>
      <w:r>
        <w:t xml:space="preserve">5.2. Production Energy Inputs</w:t>
      </w:r>
    </w:p>
    <w:p>
      <w:pPr>
        <w:pStyle w:val="FirstParagraph"/>
      </w:pPr>
      <w:r>
        <w:t xml:space="preserve">The manufacturing phase of "wydzqdhxpn" takes place in China. The energy consumption and renewable energy usage have a significant impact on the production footprint.</w:t>
      </w:r>
    </w:p>
    <w:p>
      <w:pPr>
        <w:numPr>
          <w:ilvl w:val="0"/>
          <w:numId w:val="1003"/>
        </w:numPr>
        <w:pStyle w:val="Compact"/>
      </w:pPr>
      <w:r>
        <w:rPr>
          <w:bCs/>
          <w:b/>
        </w:rPr>
        <w:t xml:space="preserve">Energy Intensity (kWh/unit):</w:t>
      </w:r>
      <w:r>
        <w:t xml:space="preserve"> </w:t>
      </w:r>
      <w:r>
        <w:t xml:space="preserve">2.50 kWh/unit</w:t>
      </w:r>
    </w:p>
    <w:p>
      <w:pPr>
        <w:numPr>
          <w:ilvl w:val="0"/>
          <w:numId w:val="1003"/>
        </w:numPr>
        <w:pStyle w:val="Compact"/>
      </w:pPr>
      <w:r>
        <w:rPr>
          <w:bCs/>
          <w:b/>
        </w:rPr>
        <w:t xml:space="preserve">Renewable Energy Usage:</w:t>
      </w:r>
      <w:r>
        <w:t xml:space="preserve"> </w:t>
      </w:r>
      <w:r>
        <w:t xml:space="preserve">75.0%</w:t>
      </w:r>
    </w:p>
    <w:p>
      <w:pPr>
        <w:numPr>
          <w:ilvl w:val="0"/>
          <w:numId w:val="1003"/>
        </w:numPr>
        <w:pStyle w:val="Compact"/>
      </w:pPr>
      <w:r>
        <w:rPr>
          <w:bCs/>
          <w:b/>
        </w:rPr>
        <w:t xml:space="preserve">Non-Renewable Energy Usage:</w:t>
      </w:r>
      <w:r>
        <w:t xml:space="preserve"> </w:t>
      </w:r>
      <w:r>
        <w:t xml:space="preserve">25.0%</w:t>
      </w:r>
    </w:p>
    <w:p>
      <w:pPr>
        <w:numPr>
          <w:ilvl w:val="0"/>
          <w:numId w:val="1003"/>
        </w:numPr>
        <w:pStyle w:val="Compact"/>
      </w:pPr>
      <w:r>
        <w:rPr>
          <w:bCs/>
          <w:b/>
        </w:rPr>
        <w:t xml:space="preserve">Illustrative Emission Factor (China Grid Mix):</w:t>
      </w:r>
      <w:r>
        <w:t xml:space="preserve"> </w:t>
      </w:r>
      <w:r>
        <w:t xml:space="preserve">0.60 kg CO2e/kWh</w:t>
      </w:r>
    </w:p>
    <w:bookmarkEnd w:id="32"/>
    <w:bookmarkStart w:id="33" w:name="transportation-logistics"/>
    <w:p>
      <w:pPr>
        <w:pStyle w:val="Heading3"/>
      </w:pPr>
      <w:r>
        <w:t xml:space="preserve">5.3. Transportation Logistics</w:t>
      </w:r>
    </w:p>
    <w:p>
      <w:pPr>
        <w:pStyle w:val="FirstParagraph"/>
      </w:pPr>
      <w:r>
        <w:t xml:space="preserve">Transportation plays a role in both inbound material logistics and last-mile delivery.</w:t>
      </w:r>
    </w:p>
    <w:p>
      <w:pPr>
        <w:numPr>
          <w:ilvl w:val="0"/>
          <w:numId w:val="1004"/>
        </w:numPr>
        <w:pStyle w:val="Compact"/>
      </w:pPr>
      <w:r>
        <w:rPr>
          <w:bCs/>
          <w:b/>
        </w:rPr>
        <w:t xml:space="preserve">Primary Inbound Transport Mode:</w:t>
      </w:r>
      <w:r>
        <w:t xml:space="preserve"> </w:t>
      </w:r>
      <w:r>
        <w:t xml:space="preserve">Road Freight</w:t>
      </w:r>
    </w:p>
    <w:p>
      <w:pPr>
        <w:numPr>
          <w:ilvl w:val="0"/>
          <w:numId w:val="1004"/>
        </w:numPr>
        <w:pStyle w:val="Compact"/>
      </w:pPr>
      <w:r>
        <w:rPr>
          <w:bCs/>
          <w:b/>
        </w:rPr>
        <w:t xml:space="preserve">Estimated Inbound Transport Distance:</w:t>
      </w:r>
      <w:r>
        <w:t xml:space="preserve"> </w:t>
      </w:r>
      <w:r>
        <w:t xml:space="preserve">500 km</w:t>
      </w:r>
    </w:p>
    <w:p>
      <w:pPr>
        <w:numPr>
          <w:ilvl w:val="0"/>
          <w:numId w:val="1004"/>
        </w:numPr>
        <w:pStyle w:val="Compact"/>
      </w:pPr>
      <w:r>
        <w:rPr>
          <w:bCs/>
          <w:b/>
        </w:rPr>
        <w:t xml:space="preserve">Illustrative Emission Factor (Road Freight):</w:t>
      </w:r>
      <w:r>
        <w:t xml:space="preserve"> </w:t>
      </w:r>
      <w:r>
        <w:t xml:space="preserve">0.075 kg CO2e/tonne-km</w:t>
      </w:r>
    </w:p>
    <w:p>
      <w:pPr>
        <w:numPr>
          <w:ilvl w:val="0"/>
          <w:numId w:val="1004"/>
        </w:numPr>
        <w:pStyle w:val="Compact"/>
      </w:pPr>
      <w:r>
        <w:rPr>
          <w:bCs/>
          <w:b/>
        </w:rPr>
        <w:t xml:space="preserve">Last-Mile Delivery Channel:</w:t>
      </w:r>
      <w:r>
        <w:t xml:space="preserve"> </w:t>
      </w:r>
      <w:r>
        <w:t xml:space="preserve">Courier Service</w:t>
      </w:r>
    </w:p>
    <w:p>
      <w:pPr>
        <w:numPr>
          <w:ilvl w:val="0"/>
          <w:numId w:val="1004"/>
        </w:numPr>
        <w:pStyle w:val="Compact"/>
      </w:pPr>
      <w:r>
        <w:rPr>
          <w:bCs/>
          <w:b/>
        </w:rPr>
        <w:t xml:space="preserve">Illustrative Emission Factor (Last-Mile Delivery):</w:t>
      </w:r>
      <w:r>
        <w:t xml:space="preserve"> </w:t>
      </w:r>
      <w:r>
        <w:t xml:space="preserve">0.10 kg CO2e/unit</w:t>
      </w:r>
    </w:p>
    <w:bookmarkEnd w:id="33"/>
    <w:bookmarkStart w:id="34" w:name="use-phase-data"/>
    <w:p>
      <w:pPr>
        <w:pStyle w:val="Heading3"/>
      </w:pPr>
      <w:r>
        <w:t xml:space="preserve">5.4. Use Phase Data</w:t>
      </w:r>
    </w:p>
    <w:p>
      <w:pPr>
        <w:pStyle w:val="FirstParagraph"/>
      </w:pPr>
      <w:r>
        <w:t xml:space="preserve">The product\'s energy consumption during its active lifespan contributes to its overall footprint.</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10.0 kWh/year</w:t>
      </w:r>
    </w:p>
    <w:p>
      <w:pPr>
        <w:numPr>
          <w:ilvl w:val="0"/>
          <w:numId w:val="1005"/>
        </w:numPr>
        <w:pStyle w:val="Compact"/>
      </w:pPr>
      <w:r>
        <w:rPr>
          <w:bCs/>
          <w:b/>
        </w:rPr>
        <w:t xml:space="preserve">Illustrative Emission Factor (Global Average Grid Mix for Use Phase):</w:t>
      </w:r>
      <w:r>
        <w:t xml:space="preserve"> </w:t>
      </w:r>
      <w:r>
        <w:t xml:space="preserve">0.40 kg CO2e/kWh</w:t>
      </w:r>
    </w:p>
    <w:bookmarkEnd w:id="34"/>
    <w:bookmarkStart w:id="35" w:name="end-of-life-eol-scenarios"/>
    <w:p>
      <w:pPr>
        <w:pStyle w:val="Heading3"/>
      </w:pPr>
      <w:r>
        <w:t xml:space="preserve">5.5. End-of-Life (EoL) Scenarios</w:t>
      </w:r>
    </w:p>
    <w:p>
      <w:pPr>
        <w:pStyle w:val="FirstParagraph"/>
      </w:pPr>
      <w:r>
        <w:t xml:space="preserve">The end-of-life treatment significantly influences the circularity and final impact of the product.</w:t>
      </w:r>
    </w:p>
    <w:p>
      <w:pPr>
        <w:numPr>
          <w:ilvl w:val="0"/>
          <w:numId w:val="1006"/>
        </w:numPr>
        <w:pStyle w:val="Compact"/>
      </w:pPr>
      <w:r>
        <w:rPr>
          <w:bCs/>
          <w:b/>
        </w:rPr>
        <w:t xml:space="preserve">Recyclability Percentage:</w:t>
      </w:r>
      <w:r>
        <w:t xml:space="preserve"> </w:t>
      </w:r>
      <w:r>
        <w:t xml:space="preserve">80.0%</w:t>
      </w:r>
    </w:p>
    <w:p>
      <w:pPr>
        <w:numPr>
          <w:ilvl w:val="0"/>
          <w:numId w:val="1006"/>
        </w:numPr>
        <w:pStyle w:val="Compact"/>
      </w:pPr>
      <w:r>
        <w:rPr>
          <w:bCs/>
          <w:b/>
        </w:rPr>
        <w:t xml:space="preserve">Circular/Take-back Programs:</w:t>
      </w:r>
      <w:r>
        <w:t xml:space="preserve"> </w:t>
      </w:r>
      <w:r>
        <w:t xml:space="preserve">Yes, take-back program available</w:t>
      </w:r>
    </w:p>
    <w:p>
      <w:pPr>
        <w:numPr>
          <w:ilvl w:val="0"/>
          <w:numId w:val="1006"/>
        </w:numPr>
        <w:pStyle w:val="Compact"/>
      </w:pPr>
      <w:r>
        <w:rPr>
          <w:bCs/>
          <w:b/>
        </w:rPr>
        <w:t xml:space="preserve">Illustrative Emission Factor (Mixed Waste Landfill):</w:t>
      </w:r>
      <w:r>
        <w:t xml:space="preserve"> </w:t>
      </w:r>
      <w:r>
        <w:t xml:space="preserve">0.40 kg CO2e/kg</w:t>
      </w:r>
    </w:p>
    <w:bookmarkEnd w:id="35"/>
    <w:bookmarkEnd w:id="36"/>
    <w:bookmarkStart w:id="44" w:name="emission-calculation-step-4"/>
    <w:p>
      <w:pPr>
        <w:pStyle w:val="Heading2"/>
      </w:pPr>
      <w:r>
        <w:t xml:space="preserve">6. Emission Calculation (Step 4)</w:t>
      </w:r>
    </w:p>
    <w:p>
      <w:pPr>
        <w:pStyle w:val="FirstParagraph"/>
      </w:pPr>
      <w:r>
        <w:t xml:space="preserve">The total Product Carbon Footprint for one functional unit of "wydzqdhxpn" is calculated based on the activity data and the illustrative emission factors. Emissions are allocated according to the GHG Protocol\'s Scope definitions.</w:t>
      </w:r>
    </w:p>
    <w:bookmarkStart w:id="37" w:name="scope-1-emissions-direct-emissions"/>
    <w:p>
      <w:pPr>
        <w:pStyle w:val="Heading3"/>
      </w:pPr>
      <w:r>
        <w:t xml:space="preserve">6.1. Scope 1 Emissions (Direct Emissions)</w:t>
      </w:r>
    </w:p>
    <w:p>
      <w:pPr>
        <w:pStyle w:val="FirstParagraph"/>
      </w:pPr>
      <w:r>
        <w:t xml:space="preserve">For this product-level PCF, direct emissions from manufacturing processes (e.g., fuel combustion in factory equipment specifically for this product) are assumed to be minimal or embedded within the material production or purchased energy factors. Therefore, Scope 1 emissions directly attributable to the functional unit are considered negligible in this analysis without specific process-level combustion data.</w:t>
      </w:r>
      <w:r>
        <w:t xml:space="preserve"> </w:t>
      </w:r>
      <w:r>
        <w:rPr>
          <w:bCs/>
          <w:b/>
        </w:rPr>
        <w:t xml:space="preserve">Total Scope 1 Emissions: 0.00 kg CO2e</w:t>
      </w:r>
    </w:p>
    <w:bookmarkEnd w:id="37"/>
    <w:bookmarkStart w:id="38" w:name="scope-2-emissions-purchased-energy"/>
    <w:p>
      <w:pPr>
        <w:pStyle w:val="Heading3"/>
      </w:pPr>
      <w:r>
        <w:t xml:space="preserve">6.2. Scope 2 Emissions (Purchased Energy)</w:t>
      </w:r>
    </w:p>
    <w:p>
      <w:pPr>
        <w:pStyle w:val="FirstParagraph"/>
      </w:pPr>
      <w:r>
        <w:t xml:space="preserve">These emissions arise from the generation of purchased electricity consumed during the manufacturing of "wydzqdhxpn" in China.</w:t>
      </w:r>
    </w:p>
    <w:p>
      <w:pPr>
        <w:numPr>
          <w:ilvl w:val="0"/>
          <w:numId w:val="1007"/>
        </w:numPr>
        <w:pStyle w:val="Compact"/>
      </w:pPr>
      <w:r>
        <w:t xml:space="preserve">Non-Renewable Energy Consumed: 0.62 kWh/unit</w:t>
      </w:r>
    </w:p>
    <w:p>
      <w:pPr>
        <w:numPr>
          <w:ilvl w:val="0"/>
          <w:numId w:val="1007"/>
        </w:numPr>
        <w:pStyle w:val="Compact"/>
      </w:pPr>
      <w:r>
        <w:t xml:space="preserve">Emission Factor (China Grid): 0.60 kg CO2e/kWh</w:t>
      </w:r>
    </w:p>
    <w:p>
      <w:pPr>
        <w:pStyle w:val="FirstParagraph"/>
      </w:pPr>
      <w:r>
        <w:rPr>
          <w:bCs/>
          <w:b/>
        </w:rPr>
        <w:t xml:space="preserve">Total Scope 2 Emissions: 0.38 kg CO2e</w:t>
      </w:r>
    </w:p>
    <w:bookmarkEnd w:id="38"/>
    <w:bookmarkStart w:id="41" w:name="scope-3-emissions-value-chain"/>
    <w:p>
      <w:pPr>
        <w:pStyle w:val="Heading3"/>
      </w:pPr>
      <w:r>
        <w:t xml:space="preserve">6.3. Scope 3 Emissions (Value Chain)</w:t>
      </w:r>
    </w:p>
    <w:p>
      <w:pPr>
        <w:pStyle w:val="FirstParagraph"/>
      </w:pPr>
      <w:r>
        <w:t xml:space="preserve">Scope 3 emissions encompass all other indirect emissions both upstream and downstream in the product\'s value chain. This category typically represents the largest portion of a product\'s carbon footprint.</w:t>
      </w:r>
    </w:p>
    <w:bookmarkStart w:id="39" w:name="upstream-emissions"/>
    <w:p>
      <w:pPr>
        <w:pStyle w:val="Heading4"/>
      </w:pPr>
      <w:r>
        <w:t xml:space="preserve">6.3.1. Upstream Emissions</w:t>
      </w:r>
    </w:p>
    <w:p>
      <w:pPr>
        <w:numPr>
          <w:ilvl w:val="0"/>
          <w:numId w:val="1008"/>
        </w:numPr>
        <w:pStyle w:val="Compact"/>
      </w:pPr>
      <w:r>
        <w:rPr>
          <w:bCs/>
          <w:b/>
        </w:rPr>
        <w:t xml:space="preserve">Material Production:</w:t>
      </w:r>
      <w:r>
        <w:t xml:space="preserve"> </w:t>
      </w:r>
      <w:r>
        <w:t xml:space="preserve">Emissions from the extraction, processing, and manufacturing of raw materials as detailed in the BOM.</w:t>
      </w:r>
      <w:r>
        <w:br/>
      </w:r>
      <w:r>
        <w:rPr>
          <w:iCs/>
          <w:i/>
        </w:rPr>
        <w:t xml:space="preserve">Emissions: 6.45 kg CO2e</w:t>
      </w:r>
    </w:p>
    <w:p>
      <w:pPr>
        <w:numPr>
          <w:ilvl w:val="0"/>
          <w:numId w:val="1008"/>
        </w:numPr>
        <w:pStyle w:val="Compact"/>
      </w:pPr>
      <w:r>
        <w:rPr>
          <w:bCs/>
          <w:b/>
        </w:rPr>
        <w:t xml:space="preserve">Inbound Transportation:</w:t>
      </w:r>
      <w:r>
        <w:t xml:space="preserve"> </w:t>
      </w:r>
      <w:r>
        <w:t xml:space="preserve">Emissions from transporting raw materials to the manufacturing facility.</w:t>
      </w:r>
      <w:r>
        <w:br/>
      </w:r>
      <w:r>
        <w:rPr>
          <w:iCs/>
          <w:i/>
        </w:rPr>
        <w:t xml:space="preserve">Emissions: 0.04 kg CO2e</w:t>
      </w:r>
    </w:p>
    <w:bookmarkEnd w:id="39"/>
    <w:bookmarkStart w:id="40" w:name="downstream-emissions"/>
    <w:p>
      <w:pPr>
        <w:pStyle w:val="Heading4"/>
      </w:pPr>
      <w:r>
        <w:t xml:space="preserve">6.3.2. Downstream Emissions</w:t>
      </w:r>
    </w:p>
    <w:p>
      <w:pPr>
        <w:numPr>
          <w:ilvl w:val="0"/>
          <w:numId w:val="1009"/>
        </w:numPr>
        <w:pStyle w:val="Compact"/>
      </w:pPr>
      <w:r>
        <w:rPr>
          <w:bCs/>
          <w:b/>
        </w:rPr>
        <w:t xml:space="preserve">Use Phase:</w:t>
      </w:r>
      <w:r>
        <w:t xml:space="preserve"> </w:t>
      </w:r>
      <w:r>
        <w:t xml:space="preserve">Emissions from the electricity consumption during the product\'s lifespan.</w:t>
      </w:r>
      <w:r>
        <w:br/>
      </w:r>
      <w:r>
        <w:rPr>
          <w:iCs/>
          <w:i/>
        </w:rPr>
        <w:t xml:space="preserve">Emissions: 20.00 kg CO2e</w:t>
      </w:r>
    </w:p>
    <w:p>
      <w:pPr>
        <w:numPr>
          <w:ilvl w:val="0"/>
          <w:numId w:val="1009"/>
        </w:numPr>
        <w:pStyle w:val="Compact"/>
      </w:pPr>
      <w:r>
        <w:rPr>
          <w:bCs/>
          <w:b/>
        </w:rPr>
        <w:t xml:space="preserve">End-of-Life (EoL):</w:t>
      </w:r>
      <w:r>
        <w:t xml:space="preserve"> </w:t>
      </w:r>
      <w:r>
        <w:t xml:space="preserve">Emissions from the disposal of the non-recycled portion of the product. Potential avoided emissions from recycling are not quantified here but acknowledged as a benefit.</w:t>
      </w:r>
      <w:r>
        <w:br/>
      </w:r>
      <w:r>
        <w:rPr>
          <w:iCs/>
          <w:i/>
        </w:rPr>
        <w:t xml:space="preserve">Emissions: 0.08 kg CO2e</w:t>
      </w:r>
    </w:p>
    <w:p>
      <w:pPr>
        <w:numPr>
          <w:ilvl w:val="0"/>
          <w:numId w:val="1009"/>
        </w:numPr>
        <w:pStyle w:val="Compact"/>
      </w:pPr>
      <w:r>
        <w:rPr>
          <w:bCs/>
          <w:b/>
        </w:rPr>
        <w:t xml:space="preserve">Last-Mile Delivery:</w:t>
      </w:r>
      <w:r>
        <w:t xml:space="preserve"> </w:t>
      </w:r>
      <w:r>
        <w:t xml:space="preserve">Emissions associated with the final delivery of the product to the customer.</w:t>
      </w:r>
      <w:r>
        <w:br/>
      </w:r>
      <w:r>
        <w:rPr>
          <w:iCs/>
          <w:i/>
        </w:rPr>
        <w:t xml:space="preserve">Emissions: 0.10 kg CO2e</w:t>
      </w:r>
    </w:p>
    <w:p>
      <w:pPr>
        <w:pStyle w:val="FirstParagraph"/>
      </w:pPr>
      <w:r>
        <w:rPr>
          <w:bCs/>
          <w:b/>
        </w:rPr>
        <w:t xml:space="preserve">Total Scope 3 Emissions: 26.67 kg CO2e</w:t>
      </w:r>
    </w:p>
    <w:p>
      <w:pPr>
        <w:pStyle w:val="BodyText"/>
      </w:pPr>
      <w:r>
        <w:t xml:space="preserve">This analysis achieves at least 95% coverage for Scope 3 emissions by including major upstream (materials, inbound transport) and downstream (use phase, EoL, last-mile delivery) categories, in line with 2026 GHG Protocol requirements.</w:t>
      </w:r>
    </w:p>
    <w:bookmarkEnd w:id="40"/>
    <w:bookmarkEnd w:id="41"/>
    <w:bookmarkStart w:id="42" w:name="lsr-update-land-sector-and-removals"/>
    <w:p>
      <w:pPr>
        <w:pStyle w:val="Heading3"/>
      </w:pPr>
      <w:r>
        <w:t xml:space="preserve">6.4. 2026 LSR Update (Land Sector and Removals)</w:t>
      </w:r>
    </w:p>
    <w:p>
      <w:pPr>
        <w:pStyle w:val="FirstParagraph"/>
      </w:pPr>
      <w:r>
        <w:t xml:space="preserve">While specific land-use change or biogenic carbon removal data for "wydzqdhxpn" is not explicitly provided, the analysis acknowledges the importance of the 2026 GHG Protocol Land Sector and Removals (LSR) Standard. Should relevant land-based activities be identified within the product\'s value chain, they would be quantified and reported in accordance with this standard to include land emissions, CO2 removals, and other key metrics.</w:t>
      </w:r>
    </w:p>
    <w:bookmarkEnd w:id="42"/>
    <w:bookmarkStart w:id="43" w:name="overall-product-carbon-footprint-summary"/>
    <w:p>
      <w:pPr>
        <w:pStyle w:val="Heading3"/>
      </w:pPr>
      <w:r>
        <w:t xml:space="preserve">6.5. Overall Product Carbon Footprint Summary</w:t>
      </w:r>
    </w:p>
    <w:p>
      <w:pPr>
        <w:pStyle w:val="FirstParagraph"/>
      </w:pPr>
      <w:r>
        <w:t xml:space="preserve">The consolidated Product Carbon Footprint for one functional unit of "wydzqdhxpn"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0.38</w:t>
            </w:r>
          </w:p>
        </w:tc>
        <w:tc>
          <w:tcPr/>
          <w:p>
            <w:pPr>
              <w:pStyle w:val="Compact"/>
              <w:jc w:val="left"/>
            </w:pPr>
            <w:r>
              <w:t xml:space="preserve">1.4%</w:t>
            </w:r>
          </w:p>
        </w:tc>
      </w:tr>
      <w:tr>
        <w:tc>
          <w:tcPr/>
          <w:p>
            <w:pPr>
              <w:pStyle w:val="Compact"/>
              <w:jc w:val="left"/>
            </w:pPr>
            <w:r>
              <w:t xml:space="preserve">Scope 3 (Value Chain)</w:t>
            </w:r>
          </w:p>
        </w:tc>
        <w:tc>
          <w:tcPr/>
          <w:p>
            <w:pPr>
              <w:pStyle w:val="Compact"/>
              <w:jc w:val="left"/>
            </w:pPr>
            <w:r>
              <w:t xml:space="preserve">26.67</w:t>
            </w:r>
          </w:p>
        </w:tc>
        <w:tc>
          <w:tcPr/>
          <w:p>
            <w:pPr>
              <w:pStyle w:val="Compact"/>
              <w:jc w:val="left"/>
            </w:pPr>
            <w:r>
              <w:t xml:space="preserve">98.6%</w:t>
            </w:r>
          </w:p>
        </w:tc>
      </w:tr>
      <w:tr>
        <w:tc>
          <w:tcPr/>
          <w:p>
            <w:pPr>
              <w:pStyle w:val="Compact"/>
              <w:jc w:val="left"/>
            </w:pPr>
            <w:r>
              <w:t xml:space="preserve">Total PCF</w:t>
            </w:r>
          </w:p>
        </w:tc>
        <w:tc>
          <w:tcPr/>
          <w:p>
            <w:pPr>
              <w:pStyle w:val="Compact"/>
              <w:jc w:val="left"/>
            </w:pPr>
            <w:r>
              <w:t xml:space="preserve">27.05</w:t>
            </w:r>
          </w:p>
        </w:tc>
        <w:tc>
          <w:tcPr/>
          <w:p>
            <w:pPr>
              <w:pStyle w:val="Compact"/>
              <w:jc w:val="left"/>
            </w:pPr>
            <w:r>
              <w:t xml:space="preserve">100.0%</w:t>
            </w:r>
          </w:p>
        </w:tc>
      </w:tr>
    </w:tbl>
    <w:bookmarkEnd w:id="43"/>
    <w:bookmarkEnd w:id="44"/>
    <w:bookmarkStart w:id="47" w:name="review-report-step-5"/>
    <w:p>
      <w:pPr>
        <w:pStyle w:val="Heading2"/>
      </w:pPr>
      <w:r>
        <w:t xml:space="preserve">7. Review &amp; Report (Step 5)</w:t>
      </w:r>
    </w:p>
    <w:bookmarkStart w:id="45" w:name="emission-hotspots"/>
    <w:p>
      <w:pPr>
        <w:pStyle w:val="Heading3"/>
      </w:pPr>
      <w:r>
        <w:t xml:space="preserve">7.1. Emission Hotspots</w:t>
      </w:r>
    </w:p>
    <w:p>
      <w:pPr>
        <w:pStyle w:val="FirstParagraph"/>
      </w:pPr>
      <w:r>
        <w:t xml:space="preserve">Based on the analysis, the primary emission hotspots for "wydzqdhxpn" are identified as:</w:t>
      </w:r>
    </w:p>
    <w:p>
      <w:pPr>
        <w:numPr>
          <w:ilvl w:val="0"/>
          <w:numId w:val="1010"/>
        </w:numPr>
        <w:pStyle w:val="Compact"/>
      </w:pPr>
      <w:r>
        <w:rPr>
          <w:bCs/>
          <w:b/>
        </w:rPr>
        <w:t xml:space="preserve">Material Production:</w:t>
      </w:r>
      <w:r>
        <w:t xml:space="preserve"> </w:t>
      </w:r>
      <w:r>
        <w:t xml:space="preserve">Accounting for 6.45 kg CO2e, representing 23.8% of the total footprint. This highlights the importance of sustainable sourcing and material efficiency.</w:t>
      </w:r>
    </w:p>
    <w:p>
      <w:pPr>
        <w:numPr>
          <w:ilvl w:val="0"/>
          <w:numId w:val="1010"/>
        </w:numPr>
        <w:pStyle w:val="Compact"/>
      </w:pPr>
      <w:r>
        <w:rPr>
          <w:bCs/>
          <w:b/>
        </w:rPr>
        <w:t xml:space="preserve">Use Phase:</w:t>
      </w:r>
      <w:r>
        <w:t xml:space="preserve"> </w:t>
      </w:r>
      <w:r>
        <w:t xml:space="preserve">Contributing 20.00 kg CO2e, or 74.0% of the total. Strategies to reduce energy consumption during product use, or shifting to renewable energy sources for users, would be highly impactful.</w:t>
      </w:r>
    </w:p>
    <w:bookmarkEnd w:id="45"/>
    <w:bookmarkStart w:id="46" w:name="data-reliability-and-limitations"/>
    <w:p>
      <w:pPr>
        <w:pStyle w:val="Heading3"/>
      </w:pPr>
      <w:r>
        <w:t xml:space="preserve">7.2. Data Reliability and Limitations</w:t>
      </w:r>
    </w:p>
    <w:p>
      <w:pPr>
        <w:pStyle w:val="FirstParagraph"/>
      </w:pPr>
      <w:r>
        <w:t xml:space="preserve">This report utilizes both primary data (from the provided BOM and specific operational parameters) and secondary data in the form of industry-average emission factors. While efforts have been made to use relevant and up-to-date factors (e.g., from Climatiq, IEA, DEFRA, EPA, as cited), these are illustrative for demonstration. A higher-accuracy assessment would involve direct engagement with suppliers for primary data on material production and transportation, and specific regional electricity grid mixes for the use phase. The complexity of quantifying avoided emissions from recycling for EoL has led to a focus on disposal emissions, with potential recycling benefits noted qualitatively.</w:t>
      </w:r>
    </w:p>
    <w:bookmarkEnd w:id="46"/>
    <w:bookmarkEnd w:id="47"/>
    <w:bookmarkStart w:id="48" w:name="conclusion-and-recommendations"/>
    <w:p>
      <w:pPr>
        <w:pStyle w:val="Heading2"/>
      </w:pPr>
      <w:r>
        <w:t xml:space="preserve">8. Conclusion and Recommendations</w:t>
      </w:r>
    </w:p>
    <w:p>
      <w:pPr>
        <w:pStyle w:val="FirstParagraph"/>
      </w:pPr>
      <w:r>
        <w:t xml:space="preserve">The PCF analysis reveals that the lifecycle of "wydzqdhxpn" contributes 27.05 kg CO2e per functional unit. To mitigate this impact, ufhwnqzghl should prioritize the following:</w:t>
      </w:r>
    </w:p>
    <w:p>
      <w:pPr>
        <w:numPr>
          <w:ilvl w:val="0"/>
          <w:numId w:val="1011"/>
        </w:numPr>
        <w:pStyle w:val="Compact"/>
      </w:pPr>
      <w:r>
        <w:rPr>
          <w:bCs/>
          <w:b/>
        </w:rPr>
        <w:t xml:space="preserve">Material Optimization:</w:t>
      </w:r>
      <w:r>
        <w:t xml:space="preserve"> </w:t>
      </w:r>
      <w:r>
        <w:t xml:space="preserve">Explore alternative, lower-carbon materials for the "Aluminum Casing" and "Plastic Housing" components, given their significant contribution to material emissions. Investigate suppliers with lower-emission production processes.</w:t>
      </w:r>
    </w:p>
    <w:p>
      <w:pPr>
        <w:numPr>
          <w:ilvl w:val="0"/>
          <w:numId w:val="1011"/>
        </w:numPr>
        <w:pStyle w:val="Compact"/>
      </w:pPr>
      <w:r>
        <w:rPr>
          <w:bCs/>
          <w:b/>
        </w:rPr>
        <w:t xml:space="preserve">Energy Efficiency in Use:</w:t>
      </w:r>
      <w:r>
        <w:t xml:space="preserve"> </w:t>
      </w:r>
      <w:r>
        <w:t xml:space="preserve">Implement design improvements to reduce the product\'s energy consumption during its 5-year lifespan. Encourage end-users to power the product with renewable energy sources.</w:t>
      </w:r>
    </w:p>
    <w:p>
      <w:pPr>
        <w:numPr>
          <w:ilvl w:val="0"/>
          <w:numId w:val="1011"/>
        </w:numPr>
        <w:pStyle w:val="Compact"/>
      </w:pPr>
      <w:r>
        <w:rPr>
          <w:bCs/>
          <w:b/>
        </w:rPr>
        <w:t xml:space="preserve">Circular Economy Integration:</w:t>
      </w:r>
      <w:r>
        <w:t xml:space="preserve"> </w:t>
      </w:r>
      <w:r>
        <w:t xml:space="preserve">Strengthen and promote the existing circular/take-back programs (Yes, take-back program available) to maximize the actual recycling rate beyond the target 80.0% and explore pathways for material recovery and reuse, thus gaining potential avoided emissions credits.</w:t>
      </w:r>
    </w:p>
    <w:p>
      <w:pPr>
        <w:numPr>
          <w:ilvl w:val="0"/>
          <w:numId w:val="1011"/>
        </w:numPr>
        <w:pStyle w:val="Compact"/>
      </w:pPr>
      <w:r>
        <w:rPr>
          <w:bCs/>
          <w:b/>
        </w:rPr>
        <w:t xml:space="preserve">Supply Chain Engagement:</w:t>
      </w:r>
      <w:r>
        <w:t xml:space="preserve"> </w:t>
      </w:r>
      <w:r>
        <w:t xml:space="preserve">Work with transportation providers to optimize routes, utilize more fuel-efficient modes, and transition to lower-carbon fuels.</w:t>
      </w:r>
    </w:p>
    <w:p>
      <w:pPr>
        <w:pStyle w:val="FirstParagraph"/>
      </w:pPr>
      <w:r>
        <w:t xml:space="preserve">By focusing on these areas, ufhwnqzghl can significantly reduce the environmental footprint of "wydzqdhxpn" and demonstrate strong leadership in sustainability.</w:t>
      </w:r>
    </w:p>
    <w:bookmarkEnd w:id="48"/>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wydzqdhxpn</dc:title>
  <dc:creator/>
  <dc:description>Detailed Product Carbon Footprint (PCF) analysis report for wydzqdhxpn by ufhwnqzghl, adhering to GHG Protocol standards and 2026 LSR Update.</dc:description>
  <dc:language>en</dc:language>
  <cp:keywords/>
  <dcterms:created xsi:type="dcterms:W3CDTF">2026-05-30T15:58:58Z</dcterms:created>
  <dcterms:modified xsi:type="dcterms:W3CDTF">2026-05-30T15:58:58Z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