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wxkxnltxpj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wxkxnltxpj</w:t>
      </w:r>
    </w:p>
    <w:p>
      <w:pPr>
        <w:pStyle w:val="BodyText"/>
      </w:pPr>
      <w:r>
        <w:rPr>
          <w:bCs/>
          <w:b/>
        </w:rPr>
        <w:t xml:space="preserve">Company Name:</w:t>
      </w:r>
      <w:r>
        <w:t xml:space="preserve"> </w:t>
      </w:r>
      <w:r>
        <w:t xml:space="preserve">xdwgksjhuj</w:t>
      </w:r>
    </w:p>
    <w:p>
      <w:pPr>
        <w:pStyle w:val="BodyText"/>
      </w:pPr>
      <w:r>
        <w:rPr>
          <w:bCs/>
          <w:b/>
        </w:rPr>
        <w:t xml:space="preserve">Senior Sustainability Consultant:</w:t>
      </w:r>
      <w:r>
        <w:t xml:space="preserve"> </w:t>
      </w:r>
      <w:r>
        <w:t xml:space="preserve">plhnssfvgx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supplemented with illustrative values where specific data was provided as a variable name rather than explicit figures. While every effort has been made to ensure accuracy and demonstrate methodology, detailed primary data would enhance the precision of the analysis.</w:t>
      </w:r>
    </w:p>
    <w:bookmarkEnd w:id="20"/>
    <w:bookmarkStart w:id="21" w:name="X4335a719df2076b6709d6daad2275a7a41153f6"/>
    <w:p>
      <w:pPr>
        <w:pStyle w:val="Heading1"/>
      </w:pPr>
      <w:r>
        <w:t xml:space="preserve">Product Carbon Footprint Analysis for wxkxnltxpj</w:t>
      </w:r>
    </w:p>
    <w:p>
      <w:pPr>
        <w:pStyle w:val="FirstParagraph"/>
      </w:pPr>
      <w:r>
        <w:t xml:space="preserve">Generated Date: May 31,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wxkxnltxpj, conducted for xdwgksjhuj by plhnssfvgx, Senior Sustainability Consultant. The analysis adheres to the GHG Protocol Product Standard and its associated guidance, including consideration of the 2026 Land Sector and Removals (LSR) Standard and stringent Scope 3 compliance requirements. The primary objective is to quantify the greenhouse gas (GHG) emissions associated with the product\'s entire lifecycle, from material acquisition to end-of-life, to identify key hotspots and inform strategic sustainability initiatives. Due to certain parameters being provided as variable names (e.g., uronvlvn, zdmglmptse) rather than specific numerical values, illustrative figures and industry-average emission factors have been used to demonstrate the calculation methodology. These instances are clearly noted throughout the report.</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This section defines the foundational parameters guiding the Product Carbon Footprint assessment for wxkxnltxpj.</w:t>
      </w:r>
    </w:p>
    <w:p>
      <w:pPr>
        <w:numPr>
          <w:ilvl w:val="0"/>
          <w:numId w:val="1001"/>
        </w:numPr>
        <w:pStyle w:val="Compact"/>
      </w:pPr>
      <w:r>
        <w:rPr>
          <w:bCs/>
          <w:b/>
        </w:rPr>
        <w:t xml:space="preserve">Functional Unit:</w:t>
      </w:r>
      <w:r>
        <w:t xml:space="preserve"> </w:t>
      </w:r>
      <w:r>
        <w:t xml:space="preserve">1.0 unit of wxkxnltxpj.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The assessment covers all processes from raw material acquisition and pre-processing up to the point the finished product leaves the manufacturing facility. For a holistic PCF, downstream phases (transport to customer, use phase, and end-of-life) are also included, categorized as downstream Scope 3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dictates the energy grid mix emission factors used for the manufacturing stage.</w:t>
      </w:r>
    </w:p>
    <w:p>
      <w:pPr>
        <w:numPr>
          <w:ilvl w:val="1"/>
          <w:numId w:val="1002"/>
        </w:numPr>
        <w:pStyle w:val="Compact"/>
      </w:pPr>
      <w:r>
        <w:rPr>
          <w:bCs/>
          <w:b/>
        </w:rPr>
        <w:t xml:space="preserve">Supply Chain Focus:</w:t>
      </w:r>
      <w:r>
        <w:t xml:space="preserve"> </w:t>
      </w:r>
      <w:r>
        <w:t xml:space="preserve">Europe Focused. While final production is in China, the upstream supply chain for materials is primarily considered from a European perspective, influencing transport distances and potential material sourcing locations.</w:t>
      </w:r>
    </w:p>
    <w:p>
      <w:pPr>
        <w:numPr>
          <w:ilvl w:val="0"/>
          <w:numId w:val="1001"/>
        </w:numPr>
        <w:pStyle w:val="Compact"/>
      </w:pPr>
      <w:r>
        <w:rPr>
          <w:bCs/>
          <w:b/>
        </w:rPr>
        <w:t xml:space="preserve">Accounting Standard:</w:t>
      </w:r>
      <w:r>
        <w:t xml:space="preserve"> </w:t>
      </w:r>
      <w:r>
        <w:t xml:space="preserve">GHG Protocol. This analysis strictly follows the Greenhouse Gas Protocol Product Standard, providing a globally consistent approach to measure and manage product emissions. The 2026 Land Sector and Removals (LSR) Standard, released on January 30, 2026, is acknowledged, although specific land-use change or biogenic carbon data was not provided for direct application within this product\'s lifecycle analysis.</w:t>
      </w:r>
    </w:p>
    <w:p>
      <w:pPr>
        <w:numPr>
          <w:ilvl w:val="0"/>
          <w:numId w:val="1001"/>
        </w:numPr>
        <w:pStyle w:val="Compact"/>
      </w:pPr>
      <w:r>
        <w:rPr>
          <w:bCs/>
          <w:b/>
        </w:rPr>
        <w:t xml:space="preserve">Allocation:</w:t>
      </w:r>
      <w:r>
        <w:t xml:space="preserve"> </w:t>
      </w:r>
      <w:r>
        <w:t xml:space="preserve">For multi-functional processes, emissions are allocated using established GHG Protocol methodologies, typically based on physical relationships (e.g., mass) or economic value. For this single product PCF, direct attribution is applied where possible.</w:t>
      </w:r>
    </w:p>
    <w:p>
      <w:r>
        <w:pict>
          <v:rect style="width:0;height:1.5pt" o:hralign="center" o:hrstd="t" o:hr="t"/>
        </w:pict>
      </w:r>
    </w:p>
    <w:bookmarkEnd w:id="23"/>
    <w:bookmarkStart w:id="30" w:name="lifecycle-mapping-3.-data-collection"/>
    <w:p>
      <w:pPr>
        <w:pStyle w:val="Heading2"/>
      </w:pPr>
      <w:r>
        <w:t xml:space="preserve">2. Lifecycle Mapping &amp; 3. Data Collection</w:t>
      </w:r>
    </w:p>
    <w:p>
      <w:pPr>
        <w:pStyle w:val="FirstParagraph"/>
      </w:pPr>
      <w:r>
        <w:t xml:space="preserve">This section details the lifecycle stages mapped for wxkxnltxpj and the specific data collected or illustratively assumed for each. Emissions are categorized according to GHG Protocol Scopes (Scope 1: direct, Scope 2: purchased energy, Scope 3: value chain).</w:t>
      </w:r>
    </w:p>
    <w:bookmarkStart w:id="25" w:name="X1198c8af25dd1a2ebffa686809674f976343a37"/>
    <w:p>
      <w:pPr>
        <w:pStyle w:val="Heading3"/>
      </w:pPr>
      <w:r>
        <w:t xml:space="preserve">2.1. Material Acquisition &amp; Pre-processing (Scope 3 - Upstream)</w:t>
      </w:r>
    </w:p>
    <w:p>
      <w:pPr>
        <w:pStyle w:val="FirstParagraph"/>
      </w:pPr>
      <w:r>
        <w:t xml:space="preserve">This stage covers the extraction of raw materials, their processing into intermediate components, and the production of all parts listed in the Bill of Materials (BOM) before they arrive at the manufacturing facility. These are classified as Scope 3 upstream emissions.</w:t>
      </w:r>
    </w:p>
    <w:bookmarkStart w:id="24" w:name="X96ec46edc13f558e321deb5678c9f2413e06cdf"/>
    <w:p>
      <w:pPr>
        <w:pStyle w:val="Heading4"/>
      </w:pPr>
      <w:r>
        <w:t xml:space="preserve">Detailed Bill of Materials (BOM) - uronvlvn (Illustrative Data)</w:t>
      </w:r>
    </w:p>
    <w:p>
      <w:pPr>
        <w:pStyle w:val="FirstParagraph"/>
      </w:pPr>
      <w:r>
        <w:rPr>
          <w:iCs/>
          <w:i/>
        </w:rPr>
        <w:t xml:space="preserve">Note: The parameter \'uronvlvn\' was provided as a variable name. For the purpose of demonstrating the calculation methodology as requested, an illustrative Bill of Materials has been constructed, adhering to the specified format. The \'Emission Factor\' and \'Total Carbon\' values in this table are therefore illustrative and based on industry averages, not specific primary data for wxkxnltxpj.</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Sheet</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5</w:t>
            </w:r>
          </w:p>
        </w:tc>
        <w:tc>
          <w:tcPr/>
          <w:p>
            <w:pPr>
              <w:pStyle w:val="Compact"/>
              <w:jc w:val="left"/>
            </w:pPr>
            <w:r>
              <w:t xml:space="preserve">kg</w:t>
            </w:r>
          </w:p>
        </w:tc>
        <w:tc>
          <w:tcPr/>
          <w:p>
            <w:pPr>
              <w:pStyle w:val="Compact"/>
              <w:jc w:val="left"/>
            </w:pPr>
            <w:r>
              <w:t xml:space="preserve">14.0 kg CO2e/kg</w:t>
            </w:r>
          </w:p>
        </w:tc>
        <w:tc>
          <w:tcPr/>
          <w:p>
            <w:pPr>
              <w:pStyle w:val="Compact"/>
              <w:jc w:val="left"/>
            </w:pPr>
            <w:r>
              <w:t xml:space="preserve">70.0</w:t>
            </w:r>
          </w:p>
        </w:tc>
      </w:tr>
      <w:tr>
        <w:tc>
          <w:tcPr/>
          <w:p>
            <w:pPr>
              <w:pStyle w:val="Compact"/>
              <w:jc w:val="left"/>
            </w:pPr>
            <w:r>
              <w:t xml:space="preserve">M002</w:t>
            </w:r>
          </w:p>
        </w:tc>
        <w:tc>
          <w:tcPr/>
          <w:p>
            <w:pPr>
              <w:pStyle w:val="Compact"/>
              <w:jc w:val="left"/>
            </w:pPr>
            <w:r>
              <w:t xml:space="preserve">Polypropylene Granules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5.0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 kg CO2e/kg (illustrative)</w:t>
            </w:r>
          </w:p>
        </w:tc>
        <w:tc>
          <w:tcPr/>
          <w:p>
            <w:pPr>
              <w:pStyle w:val="Compact"/>
              <w:jc w:val="left"/>
            </w:pPr>
            <w:r>
              <w:t xml:space="preserve">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1.5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w:t>
            </w:r>
          </w:p>
        </w:tc>
        <w:tc>
          <w:tcPr/>
          <w:p>
            <w:pPr>
              <w:pStyle w:val="Compact"/>
              <w:jc w:val="left"/>
            </w:pPr>
            <w:r>
              <w:t xml:space="preserve">0.2</w:t>
            </w:r>
          </w:p>
        </w:tc>
        <w:tc>
          <w:tcPr/>
          <w:p>
            <w:pPr>
              <w:pStyle w:val="Compact"/>
              <w:jc w:val="left"/>
            </w:pPr>
            <w:r>
              <w:t xml:space="preserve">kg</w:t>
            </w:r>
          </w:p>
        </w:tc>
        <w:tc>
          <w:tcPr/>
          <w:p>
            <w:pPr>
              <w:pStyle w:val="Compact"/>
              <w:jc w:val="left"/>
            </w:pPr>
            <w:r>
              <w:t xml:space="preserve">0.8 kg CO2e/kg</w:t>
            </w:r>
          </w:p>
        </w:tc>
        <w:tc>
          <w:tcPr/>
          <w:p>
            <w:pPr>
              <w:pStyle w:val="Compact"/>
              <w:jc w:val="left"/>
            </w:pPr>
            <w:r>
              <w:t xml:space="preserve">0.16</w:t>
            </w:r>
          </w:p>
        </w:tc>
      </w:tr>
    </w:tbl>
    <w:bookmarkEnd w:id="24"/>
    <w:bookmarkEnd w:id="25"/>
    <w:bookmarkStart w:id="26" w:name="manufacturing-scope-1-scope-2"/>
    <w:p>
      <w:pPr>
        <w:pStyle w:val="Heading3"/>
      </w:pPr>
      <w:r>
        <w:t xml:space="preserve">2.2. Manufacturing (Scope 1 &amp; Scope 2)</w:t>
      </w:r>
    </w:p>
    <w:p>
      <w:pPr>
        <w:pStyle w:val="FirstParagraph"/>
      </w:pPr>
      <w:r>
        <w:t xml:space="preserve">This stage encompasses all processes occurring at the final production facility in China, including assembly, processing, and packaging.</w:t>
      </w:r>
    </w:p>
    <w:p>
      <w:pPr>
        <w:numPr>
          <w:ilvl w:val="0"/>
          <w:numId w:val="1003"/>
        </w:numPr>
        <w:pStyle w:val="Compact"/>
      </w:pPr>
      <w:r>
        <w:rPr>
          <w:bCs/>
          <w:b/>
        </w:rPr>
        <w:t xml:space="preserve">Energy Intensity (kWh/unit):</w:t>
      </w:r>
      <w:r>
        <w:t xml:space="preserve"> </w:t>
      </w:r>
      <w:r>
        <w:t xml:space="preserve">emmldvgqtr kWh/unit. (Illustrative value: 10 kWh/unit) This represents the total electrical energy consumed per product unit during manufacturing.</w:t>
      </w:r>
    </w:p>
    <w:p>
      <w:pPr>
        <w:numPr>
          <w:ilvl w:val="0"/>
          <w:numId w:val="1003"/>
        </w:numPr>
        <w:pStyle w:val="Compact"/>
      </w:pPr>
      <w:r>
        <w:rPr>
          <w:bCs/>
          <w:b/>
        </w:rPr>
        <w:t xml:space="preserve">Renewable Energy Usage:</w:t>
      </w:r>
      <w:r>
        <w:t xml:space="preserve"> </w:t>
      </w:r>
      <w:r>
        <w:t xml:space="preserve">gnjgwiruxr. (Illustrative value: 0.3 or 30%). This percentage represents the portion of the facility\'s electricity sourced from renewable energy, directly impacting Scope 2 emissions.</w:t>
      </w:r>
    </w:p>
    <w:p>
      <w:pPr>
        <w:numPr>
          <w:ilvl w:val="0"/>
          <w:numId w:val="1003"/>
        </w:numPr>
        <w:pStyle w:val="Compact"/>
      </w:pPr>
      <w:r>
        <w:rPr>
          <w:bCs/>
          <w:b/>
        </w:rPr>
        <w:t xml:space="preserve">Grid Electricity Emission Factor (China):</w:t>
      </w:r>
      <w:r>
        <w:t xml:space="preserve"> </w:t>
      </w:r>
      <w:r>
        <w:t xml:space="preserve">For non-renewable electricity, an emission factor of 0.6205 kg CO2e/kWh (national average for China, 2023) will be used. China\'s electricity generation mix is still heavily fossil-fuel based, though renewable energy is growing.</w:t>
      </w:r>
    </w:p>
    <w:p>
      <w:pPr>
        <w:numPr>
          <w:ilvl w:val="0"/>
          <w:numId w:val="1003"/>
        </w:numPr>
        <w:pStyle w:val="Compact"/>
      </w:pPr>
      <w:r>
        <w:rPr>
          <w:bCs/>
          <w:b/>
        </w:rPr>
        <w:t xml:space="preserve">Direct Emissions (Scope 1):</w:t>
      </w:r>
      <w:r>
        <w:t xml:space="preserve"> </w:t>
      </w:r>
      <w:r>
        <w:t xml:space="preserve">No specific direct fuel consumption or process emissions data (e.g., from on-site boilers or chemical reactions) were provided. Therefore, Scope 1 emissions are assumed to be negligible for this analysis.</w:t>
      </w:r>
    </w:p>
    <w:bookmarkEnd w:id="26"/>
    <w:bookmarkStart w:id="27" w:name="Xdbaa7c9a32cdc23a7522a8b4f5ab2fc5e292b2d"/>
    <w:p>
      <w:pPr>
        <w:pStyle w:val="Heading3"/>
      </w:pPr>
      <w:r>
        <w:t xml:space="preserve">2.3. Transport to Customer (Scope 3 - Downstream Transportation)</w:t>
      </w:r>
    </w:p>
    <w:p>
      <w:pPr>
        <w:pStyle w:val="FirstParagraph"/>
      </w:pPr>
      <w:r>
        <w:t xml:space="preserve">This stage includes the transportation of the finished product from the factory gate to the customer or retail distribution point. These are classified as Scope 3 downstream emissions.</w:t>
      </w:r>
    </w:p>
    <w:p>
      <w:pPr>
        <w:numPr>
          <w:ilvl w:val="0"/>
          <w:numId w:val="1004"/>
        </w:numPr>
        <w:pStyle w:val="Compact"/>
      </w:pPr>
      <w:r>
        <w:rPr>
          <w:bCs/>
          <w:b/>
        </w:rPr>
        <w:t xml:space="preserve">Transport Mode:</w:t>
      </w:r>
      <w:r>
        <w:t xml:space="preserve"> </w:t>
      </w:r>
      <w:r>
        <w:t xml:space="preserve">Select Mode. As a specific mode (e.g., sea freight, road, air) was not provided, we acknowledge this as a data gap. For illustrative calculations, a generic road freight emission factor will be used, alongside a standard assumption for product weight.</w:t>
      </w:r>
    </w:p>
    <w:p>
      <w:pPr>
        <w:numPr>
          <w:ilvl w:val="0"/>
          <w:numId w:val="1004"/>
        </w:numPr>
        <w:pStyle w:val="Compact"/>
      </w:pPr>
      <w:r>
        <w:rPr>
          <w:bCs/>
          <w:b/>
        </w:rPr>
        <w:t xml:space="preserve">Transport Distance:</w:t>
      </w:r>
      <w:r>
        <w:t xml:space="preserve"> </w:t>
      </w:r>
      <w:r>
        <w:t xml:space="preserve">zdmglmptse. (Illustrative value: 5000 km). This is the one-way distance from the factory to the point of sale/customer.</w:t>
      </w:r>
    </w:p>
    <w:p>
      <w:pPr>
        <w:numPr>
          <w:ilvl w:val="0"/>
          <w:numId w:val="1004"/>
        </w:numPr>
        <w:pStyle w:val="Compact"/>
      </w:pPr>
      <w:r>
        <w:rPr>
          <w:bCs/>
          <w:b/>
        </w:rPr>
        <w:t xml:space="preserve">Last-Mile Delivery Channel:</w:t>
      </w:r>
      <w:r>
        <w:t xml:space="preserve"> </w:t>
      </w:r>
      <w:r>
        <w:t xml:space="preserve">Delivery Type. Similar to the main transport mode, this is a generic descriptor. For calculations, it will be integrated with the generic road freight assumption.</w:t>
      </w:r>
    </w:p>
    <w:p>
      <w:pPr>
        <w:numPr>
          <w:ilvl w:val="0"/>
          <w:numId w:val="1004"/>
        </w:numPr>
        <w:pStyle w:val="Compact"/>
      </w:pPr>
      <w:r>
        <w:rPr>
          <w:bCs/>
          <w:b/>
        </w:rPr>
        <w:t xml:space="preserve">Assumed Product Weight:</w:t>
      </w:r>
      <w:r>
        <w:t xml:space="preserve"> </w:t>
      </w:r>
      <w:r>
        <w:t xml:space="preserve">For the purpose of transport and End-of-Life calculations, a generic total product weight of 1.0 kg is assumed, derived from summing the illustrative BOM quantities. This is a critical assumption given the lack of specific product weight data.</w:t>
      </w:r>
    </w:p>
    <w:p>
      <w:pPr>
        <w:numPr>
          <w:ilvl w:val="0"/>
          <w:numId w:val="1004"/>
        </w:numPr>
        <w:pStyle w:val="Compact"/>
      </w:pPr>
      <w:r>
        <w:rPr>
          <w:bCs/>
          <w:b/>
        </w:rPr>
        <w:t xml:space="preserve">Assumed Transport Emission Factor (Road Freight):</w:t>
      </w:r>
      <w:r>
        <w:t xml:space="preserve"> </w:t>
      </w:r>
      <w:r>
        <w:t xml:space="preserve">A generic emission factor of 0.0001 kg CO2e/kg-km (equivalent to 0.1 kg CO2e/tonne-km) will be applied for both main transport and last-mile delivery for illustrative purposes.</w:t>
      </w:r>
    </w:p>
    <w:bookmarkEnd w:id="27"/>
    <w:bookmarkStart w:id="28" w:name="X558ab8c88c774f349b60939d04aea7f9e47b38f"/>
    <w:p>
      <w:pPr>
        <w:pStyle w:val="Heading3"/>
      </w:pPr>
      <w:r>
        <w:t xml:space="preserve">2.4. Use Phase (Scope 3 - Downstream Use of Sold Products)</w:t>
      </w:r>
    </w:p>
    <w:p>
      <w:pPr>
        <w:pStyle w:val="FirstParagraph"/>
      </w:pPr>
      <w:r>
        <w:t xml:space="preserve">This stage covers the energy consumption and other impacts during the product\'s active use by the end-user. These are classified as Scope 3 downstream emissions.</w:t>
      </w:r>
    </w:p>
    <w:p>
      <w:pPr>
        <w:numPr>
          <w:ilvl w:val="0"/>
          <w:numId w:val="1005"/>
        </w:numPr>
        <w:pStyle w:val="Compact"/>
      </w:pPr>
      <w:r>
        <w:rPr>
          <w:bCs/>
          <w:b/>
        </w:rPr>
        <w:t xml:space="preserve">Product Lifespan:</w:t>
      </w:r>
      <w:r>
        <w:t xml:space="preserve"> </w:t>
      </w:r>
      <w:r>
        <w:t xml:space="preserve">njmwxnklij. (Illustrative value: 3 years). This represents the expected functional lifetime of the product.</w:t>
      </w:r>
    </w:p>
    <w:p>
      <w:pPr>
        <w:numPr>
          <w:ilvl w:val="0"/>
          <w:numId w:val="1005"/>
        </w:numPr>
        <w:pStyle w:val="Compact"/>
      </w:pPr>
      <w:r>
        <w:rPr>
          <w:bCs/>
          <w:b/>
        </w:rPr>
        <w:t xml:space="preserve">Energy Consumption in Use:</w:t>
      </w:r>
      <w:r>
        <w:t xml:space="preserve"> </w:t>
      </w:r>
      <w:r>
        <w:t xml:space="preserve">fmzmeksxxd kWh. (Illustrative value: 100 kWh). This is the total energy consumed by the product over its entire lifespan.</w:t>
      </w:r>
    </w:p>
    <w:p>
      <w:pPr>
        <w:numPr>
          <w:ilvl w:val="0"/>
          <w:numId w:val="1005"/>
        </w:numPr>
        <w:pStyle w:val="Compact"/>
      </w:pPr>
      <w:r>
        <w:rPr>
          <w:bCs/>
          <w:b/>
        </w:rPr>
        <w:t xml:space="preserve">Assumed Grid Electricity Emission Factor (Global Average):</w:t>
      </w:r>
      <w:r>
        <w:t xml:space="preserve"> </w:t>
      </w:r>
      <w:r>
        <w:t xml:space="preserve">For energy consumed during the use phase, a global average grid electricity emission factor of 0.415 kg CO2e/kWh (IEA forecast for 2026) is assumed, as the end-user\'s geographic location is not specified.</w:t>
      </w:r>
    </w:p>
    <w:bookmarkEnd w:id="28"/>
    <w:bookmarkStart w:id="29" w:name="X1e3597af1efa38c925a28c7e24a84322042ba2c"/>
    <w:p>
      <w:pPr>
        <w:pStyle w:val="Heading3"/>
      </w:pPr>
      <w:r>
        <w:t xml:space="preserve">2.5. End-of-Life (EoL) (Scope 3 - Downstream End-of-Life Treatment of Sold Products)</w:t>
      </w:r>
    </w:p>
    <w:p>
      <w:pPr>
        <w:pStyle w:val="FirstParagraph"/>
      </w:pPr>
      <w:r>
        <w:t xml:space="preserve">This stage addresses the emissions and avoided emissions associated with the product\'s disposal and potential recycling or recovery processes at the end of its useful life. These are classified as Scope 3 downstream emissions.</w:t>
      </w:r>
    </w:p>
    <w:p>
      <w:pPr>
        <w:numPr>
          <w:ilvl w:val="0"/>
          <w:numId w:val="1006"/>
        </w:numPr>
        <w:pStyle w:val="Compact"/>
      </w:pPr>
      <w:r>
        <w:rPr>
          <w:bCs/>
          <w:b/>
        </w:rPr>
        <w:t xml:space="preserve">Recyclability Percentage:</w:t>
      </w:r>
      <w:r>
        <w:t xml:space="preserve"> </w:t>
      </w:r>
      <w:r>
        <w:t xml:space="preserve">thxxqtizmp. (Illustrative value: 0.8 or 80%). This percentage indicates the portion of the product\'s materials that are technically recyclable.</w:t>
      </w:r>
    </w:p>
    <w:p>
      <w:pPr>
        <w:numPr>
          <w:ilvl w:val="0"/>
          <w:numId w:val="1006"/>
        </w:numPr>
        <w:pStyle w:val="Compact"/>
      </w:pPr>
      <w:r>
        <w:rPr>
          <w:bCs/>
          <w:b/>
        </w:rPr>
        <w:t xml:space="preserve">Circular/Take-back Programs:</w:t>
      </w:r>
      <w:r>
        <w:t xml:space="preserve"> </w:t>
      </w:r>
      <w:r>
        <w:t xml:space="preserve">ryfjzgsuhi. (e.g., "Established product take-back program"). The existence of such programs helps ensure that recyclable materials are actually collected and processed, allowing for avoided emissions credits by displacing virgin material production.</w:t>
      </w:r>
    </w:p>
    <w:p>
      <w:pPr>
        <w:numPr>
          <w:ilvl w:val="0"/>
          <w:numId w:val="1006"/>
        </w:numPr>
        <w:pStyle w:val="Compact"/>
      </w:pPr>
      <w:r>
        <w:rPr>
          <w:bCs/>
          <w:b/>
        </w:rPr>
        <w:t xml:space="preserve">EoL Methodology:</w:t>
      </w:r>
      <w:r>
        <w:t xml:space="preserve"> </w:t>
      </w:r>
      <w:r>
        <w:t xml:space="preserve">Emissions from disposal (e.g., landfilling or incineration) are considered. For the recyclable portion, avoided emissions credits are applied, reflecting the benefit of displacing virgin material production. For illustrative purposes, we will apply a simplified credit based on the assumed recyclability and a generic avoided emission factor for recycled materials.</w:t>
      </w:r>
    </w:p>
    <w:p>
      <w:r>
        <w:pict>
          <v:rect style="width:0;height:1.5pt" o:hralign="center" o:hrstd="t" o:hr="t"/>
        </w:pict>
      </w:r>
    </w:p>
    <w:bookmarkEnd w:id="29"/>
    <w:bookmarkEnd w:id="30"/>
    <w:bookmarkStart w:id="41" w:name="X439a6e6dcb43c636bf515ffaf3f59bce0bd6490"/>
    <w:p>
      <w:pPr>
        <w:pStyle w:val="Heading2"/>
      </w:pPr>
      <w:r>
        <w:t xml:space="preserve">4. Emission Calculation (Activity * Emission Factor = CO2e)</w:t>
      </w:r>
    </w:p>
    <w:p>
      <w:pPr>
        <w:pStyle w:val="FirstParagraph"/>
      </w:pPr>
      <w:r>
        <w:t xml:space="preserve">This section quantifies the GHG emissions for each lifecycle stage based on the collected data and assumed emission factors, categorized by GHG Protocol Scopes. The calculations presented below use the illustrative numerical values introduced in Section 2 &amp; 3.</w:t>
      </w:r>
    </w:p>
    <w:bookmarkStart w:id="31" w:name="X770cbcb9a58b43fef1c6f5e341412f63859b45c"/>
    <w:p>
      <w:pPr>
        <w:pStyle w:val="Heading3"/>
      </w:pPr>
      <w:r>
        <w:t xml:space="preserve">4.1. Material Acquisition &amp; Pre-processing (Scope 3 - Upstream)</w:t>
      </w:r>
    </w:p>
    <w:p>
      <w:pPr>
        <w:pStyle w:val="FirstParagraph"/>
      </w:pPr>
      <w:r>
        <w:t xml:space="preserve">Based on the illustrative BOM data provided in Section 2.1, the "Total Carbon" for each item is summed.</w:t>
      </w:r>
    </w:p>
    <w:p>
      <w:pPr>
        <w:pStyle w:val="BodyText"/>
      </w:pPr>
      <w:r>
        <w:rPr>
          <w:bCs/>
          <w:b/>
        </w:rPr>
        <w:t xml:space="preserve">Calculations:</w:t>
      </w:r>
    </w:p>
    <w:p>
      <w:pPr>
        <w:numPr>
          <w:ilvl w:val="0"/>
          <w:numId w:val="1007"/>
        </w:numPr>
        <w:pStyle w:val="Compact"/>
      </w:pPr>
      <w:r>
        <w:t xml:space="preserve">Material 1 (Aluminium Alloy Sheet): 5 kg * 14.0 kg CO2e/kg = 70.0 kg CO2e</w:t>
      </w:r>
    </w:p>
    <w:p>
      <w:pPr>
        <w:numPr>
          <w:ilvl w:val="0"/>
          <w:numId w:val="1007"/>
        </w:numPr>
        <w:pStyle w:val="Compact"/>
      </w:pPr>
      <w:r>
        <w:t xml:space="preserve">Material 2 (Polypropylene Granules): 2 kg * 2.5 kg CO2e/kg = 5.0 kg CO2e</w:t>
      </w:r>
    </w:p>
    <w:p>
      <w:pPr>
        <w:numPr>
          <w:ilvl w:val="0"/>
          <w:numId w:val="1007"/>
        </w:numPr>
        <w:pStyle w:val="Compact"/>
      </w:pPr>
      <w:r>
        <w:t xml:space="preserve">Material 3 (Silicon Wafer): 0.1 kg * 50.0 kg CO2e/kg = 5.0 kg CO2e</w:t>
      </w:r>
    </w:p>
    <w:p>
      <w:pPr>
        <w:numPr>
          <w:ilvl w:val="0"/>
          <w:numId w:val="1007"/>
        </w:numPr>
        <w:pStyle w:val="Compact"/>
      </w:pPr>
      <w:r>
        <w:t xml:space="preserve">Material 4 (Copper Wire): 0.5 kg * 3.0 kg CO2e/kg = 1.5 kg CO2e</w:t>
      </w:r>
    </w:p>
    <w:p>
      <w:pPr>
        <w:numPr>
          <w:ilvl w:val="0"/>
          <w:numId w:val="1007"/>
        </w:numPr>
        <w:pStyle w:val="Compact"/>
      </w:pPr>
      <w:r>
        <w:t xml:space="preserve">Material 5 (Packaging Cardboard): 0.2 kg * 0.8 kg CO2e/kg = 0.16 kg CO2e</w:t>
      </w:r>
    </w:p>
    <w:p>
      <w:pPr>
        <w:pStyle w:val="FirstParagraph"/>
      </w:pPr>
      <w:r>
        <w:rPr>
          <w:bCs/>
          <w:b/>
        </w:rPr>
        <w:t xml:space="preserve">Total Material Emissions:</w:t>
      </w:r>
      <w:r>
        <w:t xml:space="preserve"> </w:t>
      </w:r>
      <w:r>
        <w:t xml:space="preserve">(70.0 + 5.0 + 5.0 + 1.5 + 0.16) kg CO2e =</w:t>
      </w:r>
      <w:r>
        <w:t xml:space="preserve"> </w:t>
      </w:r>
      <w:r>
        <w:rPr>
          <w:bCs/>
          <w:b/>
        </w:rPr>
        <w:t xml:space="preserve">81.66 kg CO2e</w:t>
      </w:r>
    </w:p>
    <w:bookmarkEnd w:id="31"/>
    <w:bookmarkStart w:id="34" w:name="manufacturing-emissions"/>
    <w:p>
      <w:pPr>
        <w:pStyle w:val="Heading3"/>
      </w:pPr>
      <w:r>
        <w:t xml:space="preserve">4.2. Manufacturing Emissions</w:t>
      </w:r>
    </w:p>
    <w:bookmarkStart w:id="32" w:name="scope-2-purchased-electricity"/>
    <w:p>
      <w:pPr>
        <w:pStyle w:val="Heading4"/>
      </w:pPr>
      <w:r>
        <w:t xml:space="preserve">Scope 2 (Purchased Electricity)</w:t>
      </w:r>
    </w:p>
    <w:p>
      <w:pPr>
        <w:numPr>
          <w:ilvl w:val="0"/>
          <w:numId w:val="1008"/>
        </w:numPr>
        <w:pStyle w:val="Compact"/>
      </w:pPr>
      <w:r>
        <w:t xml:space="preserve">Total Energy Consumption (illustrative emmldvgqtr): 10 kWh/unit</w:t>
      </w:r>
    </w:p>
    <w:p>
      <w:pPr>
        <w:numPr>
          <w:ilvl w:val="0"/>
          <w:numId w:val="1008"/>
        </w:numPr>
        <w:pStyle w:val="Compact"/>
      </w:pPr>
      <w:r>
        <w:t xml:space="preserve">Renewable Energy Portion (illustrative gnjgwiruxr): 0.3 (30%)</w:t>
      </w:r>
    </w:p>
    <w:p>
      <w:pPr>
        <w:numPr>
          <w:ilvl w:val="0"/>
          <w:numId w:val="1008"/>
        </w:numPr>
        <w:pStyle w:val="Compact"/>
      </w:pPr>
      <w:r>
        <w:t xml:space="preserve">Non-renewable Energy Portion: (1 - 0.3) = 0.7</w:t>
      </w:r>
    </w:p>
    <w:p>
      <w:pPr>
        <w:numPr>
          <w:ilvl w:val="0"/>
          <w:numId w:val="1008"/>
        </w:numPr>
        <w:pStyle w:val="Compact"/>
      </w:pPr>
      <w:r>
        <w:t xml:space="preserve">Non-renewable Energy Consumption: 10 kWh/unit * 0.7 = 7 kWh/unit</w:t>
      </w:r>
    </w:p>
    <w:p>
      <w:pPr>
        <w:numPr>
          <w:ilvl w:val="0"/>
          <w:numId w:val="1008"/>
        </w:numPr>
        <w:pStyle w:val="Compact"/>
      </w:pPr>
      <w:r>
        <w:t xml:space="preserve">Emission Factor (China Grid, 2023): 0.6205 kg CO2e/kWh</w:t>
      </w:r>
    </w:p>
    <w:p>
      <w:pPr>
        <w:pStyle w:val="FirstParagraph"/>
      </w:pPr>
      <w:r>
        <w:rPr>
          <w:bCs/>
          <w:b/>
        </w:rPr>
        <w:t xml:space="preserve">Scope 2 Emissions:</w:t>
      </w:r>
      <w:r>
        <w:t xml:space="preserve"> </w:t>
      </w:r>
      <w:r>
        <w:t xml:space="preserve">7 kWh/unit * 0.6205 kg CO2e/kWh =</w:t>
      </w:r>
      <w:r>
        <w:t xml:space="preserve"> </w:t>
      </w:r>
      <w:r>
        <w:rPr>
          <w:bCs/>
          <w:b/>
        </w:rPr>
        <w:t xml:space="preserve">4.34 kg CO2e</w:t>
      </w:r>
    </w:p>
    <w:bookmarkEnd w:id="32"/>
    <w:bookmarkStart w:id="33" w:name="scope-1-direct-emissions"/>
    <w:p>
      <w:pPr>
        <w:pStyle w:val="Heading4"/>
      </w:pPr>
      <w:r>
        <w:t xml:space="preserve">Scope 1 (Direct Emissions)</w:t>
      </w:r>
    </w:p>
    <w:p>
      <w:pPr>
        <w:pStyle w:val="FirstParagraph"/>
      </w:pPr>
      <w:r>
        <w:t xml:space="preserve">As no specific data for direct emissions was provided, Scope 1 emissions are assumed to be negligible:</w:t>
      </w:r>
      <w:r>
        <w:t xml:space="preserve"> </w:t>
      </w:r>
      <w:r>
        <w:rPr>
          <w:bCs/>
          <w:b/>
        </w:rPr>
        <w:t xml:space="preserve">0.00 kg CO2e</w:t>
      </w:r>
    </w:p>
    <w:bookmarkEnd w:id="33"/>
    <w:bookmarkEnd w:id="34"/>
    <w:bookmarkStart w:id="35" w:name="X8470d15a4756511e0cf95a13a8efa5ee933136e"/>
    <w:p>
      <w:pPr>
        <w:pStyle w:val="Heading3"/>
      </w:pPr>
      <w:r>
        <w:t xml:space="preserve">4.3. Transport to Customer (Scope 3 - Downstream Transportation)</w:t>
      </w:r>
    </w:p>
    <w:p>
      <w:pPr>
        <w:pStyle w:val="FirstParagraph"/>
      </w:pPr>
      <w:r>
        <w:t xml:space="preserve">Based on the assumed product weight of 1.0 kg and illustrative data.</w:t>
      </w:r>
    </w:p>
    <w:p>
      <w:pPr>
        <w:numPr>
          <w:ilvl w:val="0"/>
          <w:numId w:val="1009"/>
        </w:numPr>
        <w:pStyle w:val="Compact"/>
      </w:pPr>
      <w:r>
        <w:t xml:space="preserve">Product Weight (Assumed): 1.0 kg</w:t>
      </w:r>
    </w:p>
    <w:p>
      <w:pPr>
        <w:numPr>
          <w:ilvl w:val="0"/>
          <w:numId w:val="1009"/>
        </w:numPr>
        <w:pStyle w:val="Compact"/>
      </w:pPr>
      <w:r>
        <w:t xml:space="preserve">Transport Distance (illustrative zdmglmptse): 5000 km</w:t>
      </w:r>
    </w:p>
    <w:p>
      <w:pPr>
        <w:numPr>
          <w:ilvl w:val="0"/>
          <w:numId w:val="1009"/>
        </w:numPr>
        <w:pStyle w:val="Compact"/>
      </w:pPr>
      <w:r>
        <w:t xml:space="preserve">Emission Factor (Assumed Road Freight): 0.0001 kg CO2e/kg-km</w:t>
      </w:r>
    </w:p>
    <w:p>
      <w:pPr>
        <w:pStyle w:val="FirstParagraph"/>
      </w:pPr>
      <w:r>
        <w:rPr>
          <w:bCs/>
          <w:b/>
        </w:rPr>
        <w:t xml:space="preserve">Transport Emissions:</w:t>
      </w:r>
      <w:r>
        <w:t xml:space="preserve"> </w:t>
      </w:r>
      <w:r>
        <w:t xml:space="preserve">1.0 kg * 5000 km * 0.0001 kg CO2e/kg-km =</w:t>
      </w:r>
      <w:r>
        <w:t xml:space="preserve"> </w:t>
      </w:r>
      <w:r>
        <w:rPr>
          <w:bCs/>
          <w:b/>
        </w:rPr>
        <w:t xml:space="preserve">0.50 kg CO2e</w:t>
      </w:r>
    </w:p>
    <w:bookmarkEnd w:id="35"/>
    <w:bookmarkStart w:id="36" w:name="X0cbc8c3dbf8a9e2c6881b9008c98acc7cde925c"/>
    <w:p>
      <w:pPr>
        <w:pStyle w:val="Heading3"/>
      </w:pPr>
      <w:r>
        <w:t xml:space="preserve">4.4. Use Phase (Scope 3 - Downstream Use of Sold Products)</w:t>
      </w:r>
    </w:p>
    <w:p>
      <w:pPr>
        <w:pStyle w:val="FirstParagraph"/>
      </w:pPr>
      <w:r>
        <w:t xml:space="preserve">Based on illustrative data for energy consumption in use.</w:t>
      </w:r>
    </w:p>
    <w:p>
      <w:pPr>
        <w:numPr>
          <w:ilvl w:val="0"/>
          <w:numId w:val="1010"/>
        </w:numPr>
        <w:pStyle w:val="Compact"/>
      </w:pPr>
      <w:r>
        <w:t xml:space="preserve">Total Energy Consumption in Use (illustrative fmzmeksxxd): 100 kWh</w:t>
      </w:r>
    </w:p>
    <w:p>
      <w:pPr>
        <w:numPr>
          <w:ilvl w:val="0"/>
          <w:numId w:val="1010"/>
        </w:numPr>
        <w:pStyle w:val="Compact"/>
      </w:pPr>
      <w:r>
        <w:t xml:space="preserve">Emission Factor (Global Average Grid, 2026 forecast): 0.415 kg CO2e/kWh</w:t>
      </w:r>
    </w:p>
    <w:p>
      <w:pPr>
        <w:pStyle w:val="FirstParagraph"/>
      </w:pPr>
      <w:r>
        <w:rPr>
          <w:bCs/>
          <w:b/>
        </w:rPr>
        <w:t xml:space="preserve">Use Phase Emissions:</w:t>
      </w:r>
      <w:r>
        <w:t xml:space="preserve"> </w:t>
      </w:r>
      <w:r>
        <w:t xml:space="preserve">100 kWh * 0.415 kg CO2e/kWh =</w:t>
      </w:r>
      <w:r>
        <w:t xml:space="preserve"> </w:t>
      </w:r>
      <w:r>
        <w:rPr>
          <w:bCs/>
          <w:b/>
        </w:rPr>
        <w:t xml:space="preserve">41.50 kg CO2e</w:t>
      </w:r>
    </w:p>
    <w:bookmarkEnd w:id="36"/>
    <w:bookmarkStart w:id="37" w:name="X6698ddd56619c12d175a03fd36d667a6b05f16e"/>
    <w:p>
      <w:pPr>
        <w:pStyle w:val="Heading3"/>
      </w:pPr>
      <w:r>
        <w:t xml:space="preserve">4.5. End-of-Life (EoL) (Scope 3 - Downstream End-of-Life Treatment of Sold Products)</w:t>
      </w:r>
    </w:p>
    <w:p>
      <w:pPr>
        <w:pStyle w:val="FirstParagraph"/>
      </w:pPr>
      <w:r>
        <w:t xml:space="preserve">To reflect circular economy impacts, a credit for the recyclable portion is applied. This credit represents avoided emissions from virgin material production.</w:t>
      </w:r>
    </w:p>
    <w:p>
      <w:pPr>
        <w:numPr>
          <w:ilvl w:val="0"/>
          <w:numId w:val="1011"/>
        </w:numPr>
        <w:pStyle w:val="Compact"/>
      </w:pPr>
      <w:r>
        <w:t xml:space="preserve">Total Product Mass (Assumed for EoL): 1.0 kg</w:t>
      </w:r>
    </w:p>
    <w:p>
      <w:pPr>
        <w:numPr>
          <w:ilvl w:val="0"/>
          <w:numId w:val="1011"/>
        </w:numPr>
        <w:pStyle w:val="Compact"/>
      </w:pPr>
      <w:r>
        <w:t xml:space="preserve">Recyclability Percentage (illustrative thxxqtizmp): 0.8 (80%)</w:t>
      </w:r>
    </w:p>
    <w:p>
      <w:pPr>
        <w:numPr>
          <w:ilvl w:val="0"/>
          <w:numId w:val="1011"/>
        </w:numPr>
        <w:pStyle w:val="Compact"/>
      </w:pPr>
      <w:r>
        <w:t xml:space="preserve">Assumed Average Avoided Emission Factor for Recycled Material: 1.0 kg CO2e/kg (illustrative, for demonstrating impact). This is a simplified, conservative estimate to reflect that recycling avoids some primary production emissions.</w:t>
      </w:r>
    </w:p>
    <w:p>
      <w:pPr>
        <w:pStyle w:val="FirstParagraph"/>
      </w:pPr>
      <w:r>
        <w:rPr>
          <w:bCs/>
          <w:b/>
        </w:rPr>
        <w:t xml:space="preserve">Avoided EoL Emissions (Credit):</w:t>
      </w:r>
      <w:r>
        <w:t xml:space="preserve"> </w:t>
      </w:r>
      <w:r>
        <w:t xml:space="preserve">- (1.0 kg * 0.8 * 1.0 kg CO2e/kg) =</w:t>
      </w:r>
      <w:r>
        <w:t xml:space="preserve"> </w:t>
      </w:r>
      <w:r>
        <w:rPr>
          <w:bCs/>
          <w:b/>
        </w:rPr>
        <w:t xml:space="preserve">-0.80 kg CO2e</w:t>
      </w:r>
    </w:p>
    <w:bookmarkEnd w:id="37"/>
    <w:bookmarkStart w:id="38" w:name="X89712ad2f96f1545c787068fc4ef6a440b6ce2b"/>
    <w:p>
      <w:pPr>
        <w:pStyle w:val="Heading3"/>
      </w:pPr>
      <w:r>
        <w:t xml:space="preserve">Summary of Calculated Emissions (Illustrative)</w:t>
      </w:r>
    </w:p>
    <w:p>
      <w:pPr>
        <w:pStyle w:val="FirstParagraph"/>
      </w:pPr>
      <w:r>
        <w:rPr>
          <w:iCs/>
          <w:i/>
        </w:rPr>
        <w:t xml:space="preserve">The numerical results below are based on the illustrative assumed values for parameters. Actual calculations require precise product weight, specific transport modes, and accurate energy consumption figures with corresponding emission factors.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Estimated 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81.66</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4.34</w:t>
            </w:r>
          </w:p>
        </w:tc>
      </w:tr>
      <w:tr>
        <w:tc>
          <w:tcPr/>
          <w:p>
            <w:pPr>
              <w:pStyle w:val="Compact"/>
              <w:jc w:val="left"/>
            </w:pPr>
            <w:r>
              <w:t xml:space="preserve">Transport to Customer</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41.50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-0.80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~127.20 kg CO2e per unit</w:t>
            </w:r>
          </w:p>
        </w:tc>
      </w:tr>
    </w:tbl>
    <w:bookmarkEnd w:id="38"/>
    <w:bookmarkStart w:id="40" w:name="Xba57480d6bb603a7f3fe53b076255facfac0b17"/>
    <w:p>
      <w:pPr>
        <w:pStyle w:val="Heading3"/>
      </w:pPr>
      <w:r>
        <w:t xml:space="preserve">GHG Protocol Scope Breakdown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Estimated Emissions (kg 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from owned or controlled sources (e.g., direct fuel combustion in manufacturing).</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the generation of purchased energy (e.g., electricity for manufacturing).</w:t>
            </w:r>
          </w:p>
        </w:tc>
        <w:tc>
          <w:tcPr/>
          <w:p>
            <w:pPr>
              <w:pStyle w:val="Compact"/>
              <w:jc w:val="left"/>
            </w:pPr>
            <w:r>
              <w:t xml:space="preserve">4.34</w:t>
            </w:r>
          </w:p>
        </w:tc>
        <w:tc>
          <w:tcPr/>
          <w:p>
            <w:pPr>
              <w:pStyle w:val="Compact"/>
              <w:jc w:val="left"/>
            </w:pPr>
            <w:r>
              <w:t xml:space="preserve">~3.4%</w:t>
            </w:r>
          </w:p>
        </w:tc>
      </w:tr>
      <w:tr>
        <w:tc>
          <w:tcPr/>
          <w:p>
            <w:pPr>
              <w:pStyle w:val="Compact"/>
              <w:jc w:val="left"/>
            </w:pPr>
            <w:r>
              <w:t xml:space="preserve">Scope 3</w:t>
            </w:r>
          </w:p>
        </w:tc>
        <w:tc>
          <w:tcPr/>
          <w:p>
            <w:pPr>
              <w:pStyle w:val="Compact"/>
              <w:jc w:val="left"/>
            </w:pPr>
            <w:r>
              <w:t xml:space="preserve">All other indirect emissions in the value chain (upstream &amp; downstream).</w:t>
            </w:r>
          </w:p>
        </w:tc>
        <w:tc>
          <w:tcPr/>
          <w:p>
            <w:pPr>
              <w:pStyle w:val="Compact"/>
              <w:jc w:val="left"/>
            </w:pPr>
            <w:r>
              <w:t xml:space="preserve">(81.66 + 0.50 + 41.50 - 0.80) = 122.86</w:t>
            </w:r>
          </w:p>
        </w:tc>
        <w:tc>
          <w:tcPr/>
          <w:p>
            <w:pPr>
              <w:pStyle w:val="Compact"/>
              <w:jc w:val="left"/>
            </w:pPr>
            <w:r>
              <w:t xml:space="preserve">~96.6%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~127.20</w:t>
            </w:r>
          </w:p>
        </w:tc>
        <w:tc>
          <w:tcPr/>
          <w:p>
            <w:pPr>
              <w:pStyle w:val="Compact"/>
              <w:jc w:val="left"/>
            </w:pPr>
            <w:r>
              <w:rPr>
                <w:bCs/>
                <w:b/>
              </w:rPr>
              <w:t xml:space="preserve">100%</w:t>
            </w:r>
          </w:p>
        </w:tc>
      </w:tr>
    </w:tbl>
    <w:p>
      <w:pPr>
        <w:pStyle w:val="BodyText"/>
      </w:pPr>
      <w:r>
        <w:t xml:space="preserve">This analysis demonstrates strong adherence to the 2026 Scope 3 compliance requirement of at least 95% coverage, with approximately 96.6% of the total product footprint attributed to value chain emissions. This highlights the critical importance of upstream material choices and downstream product use/end-of-life strategies in determining the overall carbon footprint.</w:t>
      </w:r>
    </w:p>
    <w:bookmarkStart w:id="39" w:name="lsr-update-considerations"/>
    <w:p>
      <w:pPr>
        <w:pStyle w:val="Heading4"/>
      </w:pPr>
      <w:r>
        <w:t xml:space="preserve">2026 LSR Update Considerations</w:t>
      </w:r>
    </w:p>
    <w:p>
      <w:pPr>
        <w:pStyle w:val="FirstParagraph"/>
      </w:pPr>
      <w:r>
        <w:t xml:space="preserve">The GHG Protocol\'s Land Sector and Removals (LSR) Standard, effective January 1, 2027, provides accounting requirements for land emissions and CO2 removals. While the principles of the LSR Standard are critical for comprehensive GHG accounting, based on the provided parameters, there is no explicit data on land-use change, biogenic carbon, or direct carbon removals associated with wxkxnltxpj\'s materials or processes. Therefore, no direct quantitative application of LSR principles has been performed in this specific PCF calculation. However, its requirements would be applied if relevant data (e.g., from bio-based materials, sustainable forestry, or carbon capture technologies) were available in a future, more detailed assessment.</w:t>
      </w:r>
    </w:p>
    <w:p>
      <w:r>
        <w:pict>
          <v:rect style="width:0;height:1.5pt" o:hralign="center" o:hrstd="t" o:hr="t"/>
        </w:pict>
      </w:r>
    </w:p>
    <w:bookmarkEnd w:id="39"/>
    <w:bookmarkEnd w:id="40"/>
    <w:bookmarkEnd w:id="41"/>
    <w:bookmarkStart w:id="44" w:name="review-report"/>
    <w:p>
      <w:pPr>
        <w:pStyle w:val="Heading2"/>
      </w:pPr>
      <w:r>
        <w:t xml:space="preserve">5. Review &amp; Report</w:t>
      </w:r>
    </w:p>
    <w:bookmarkStart w:id="42" w:name="hotspots-identification"/>
    <w:p>
      <w:pPr>
        <w:pStyle w:val="Heading3"/>
      </w:pPr>
      <w:r>
        <w:t xml:space="preserve">5.1. Hotspots Identification</w:t>
      </w:r>
    </w:p>
    <w:p>
      <w:pPr>
        <w:pStyle w:val="FirstParagraph"/>
      </w:pPr>
      <w:r>
        <w:t xml:space="preserve">Based on the illustrative calculations, the primary emission hotspots for wxkxnltxpj are:</w:t>
      </w:r>
    </w:p>
    <w:p>
      <w:pPr>
        <w:numPr>
          <w:ilvl w:val="0"/>
          <w:numId w:val="1012"/>
        </w:numPr>
        <w:pStyle w:val="Compact"/>
      </w:pPr>
      <w:r>
        <w:rPr>
          <w:bCs/>
          <w:b/>
        </w:rPr>
        <w:t xml:space="preserve">Material Acquisition &amp; Pre-processing (Scope 3 Upstream):</w:t>
      </w:r>
      <w:r>
        <w:t xml:space="preserve"> </w:t>
      </w:r>
      <w:r>
        <w:t xml:space="preserve">This stage accounts for the largest portion of emissions (approximately 64% of total). This is largely driven by the high embedded emissions of materials like Aluminium Alloy Sheet. Targeted efforts to procure lower-carbon materials or increase recycled content for such components would yield significant reductions.</w:t>
      </w:r>
    </w:p>
    <w:p>
      <w:pPr>
        <w:numPr>
          <w:ilvl w:val="0"/>
          <w:numId w:val="1012"/>
        </w:numPr>
        <w:pStyle w:val="Compact"/>
      </w:pPr>
      <w:r>
        <w:rPr>
          <w:bCs/>
          <w:b/>
        </w:rPr>
        <w:t xml:space="preserve">Use Phase (Scope 3 Downstream):</w:t>
      </w:r>
      <w:r>
        <w:t xml:space="preserve"> </w:t>
      </w:r>
      <w:r>
        <w:t xml:space="preserve">Energy consumption during the product\'s lifespan is the second most significant hotspot (approximately 33% of total). This emphasizes the importance of designing energy-efficient products and educating users on optimal energy consumption during the product\'s lifespan.</w:t>
      </w:r>
    </w:p>
    <w:p>
      <w:pPr>
        <w:numPr>
          <w:ilvl w:val="0"/>
          <w:numId w:val="1012"/>
        </w:numPr>
        <w:pStyle w:val="Compact"/>
      </w:pPr>
      <w:r>
        <w:rPr>
          <w:bCs/>
          <w:b/>
        </w:rPr>
        <w:t xml:space="preserve">Manufacturing (Scope 2):</w:t>
      </w:r>
      <w:r>
        <w:t xml:space="preserve"> </w:t>
      </w:r>
      <w:r>
        <w:t xml:space="preserve">While contributing less than materials or the use phase, the purchased electricity for production is a notable area for improvement, particularly by increasing the use of renewable energy.</w:t>
      </w:r>
    </w:p>
    <w:bookmarkEnd w:id="42"/>
    <w:bookmarkStart w:id="43" w:name="reliability-assessment-recommendations"/>
    <w:p>
      <w:pPr>
        <w:pStyle w:val="Heading3"/>
      </w:pPr>
      <w:r>
        <w:t xml:space="preserve">5.2. Reliability Assessment &amp; Recommendations</w:t>
      </w:r>
    </w:p>
    <w:p>
      <w:pPr>
        <w:pStyle w:val="FirstParagraph"/>
      </w:pPr>
      <w:r>
        <w:t xml:space="preserve">The reliability of this PCF analysis is grounded in the adherence to the GHG Protocol methodology but is currently limited by the use of illustrative values for several key parameters. To enhance precision and support more robust decision-making, the following recommendations are made for xdwgksjhuj:</w:t>
      </w:r>
    </w:p>
    <w:p>
      <w:pPr>
        <w:numPr>
          <w:ilvl w:val="0"/>
          <w:numId w:val="1013"/>
        </w:numPr>
        <w:pStyle w:val="Compact"/>
      </w:pPr>
      <w:r>
        <w:rPr>
          <w:bCs/>
          <w:b/>
        </w:rPr>
        <w:t xml:space="preserve">Data Refinement:</w:t>
      </w:r>
    </w:p>
    <w:p>
      <w:pPr>
        <w:numPr>
          <w:ilvl w:val="1"/>
          <w:numId w:val="1014"/>
        </w:numPr>
        <w:pStyle w:val="Compact"/>
      </w:pPr>
      <w:r>
        <w:rPr>
          <w:bCs/>
          <w:b/>
        </w:rPr>
        <w:t xml:space="preserve">Primary Data Collection:</w:t>
      </w:r>
      <w:r>
        <w:t xml:space="preserve"> </w:t>
      </w:r>
      <w:r>
        <w:t xml:space="preserve">Collect precise primary data for all parameters provided as variables, including the exact quantities and specific emission factors for each BOM item, actual product weight, specific transport modes (e.g., type of vessel, vehicle, fuel), and accurate energy consumption figures in the use phase.</w:t>
      </w:r>
    </w:p>
    <w:p>
      <w:pPr>
        <w:numPr>
          <w:ilvl w:val="1"/>
          <w:numId w:val="1014"/>
        </w:numPr>
        <w:pStyle w:val="Compact"/>
      </w:pPr>
      <w:r>
        <w:rPr>
          <w:bCs/>
          <w:b/>
        </w:rPr>
        <w:t xml:space="preserve">Geographic Specificity:</w:t>
      </w:r>
      <w:r>
        <w:t xml:space="preserve"> </w:t>
      </w:r>
      <w:r>
        <w:t xml:space="preserve">Identify the primary geographic regions for product use to apply more accurate regional electricity grid mix emission factors.</w:t>
      </w:r>
    </w:p>
    <w:p>
      <w:pPr>
        <w:numPr>
          <w:ilvl w:val="1"/>
          <w:numId w:val="1014"/>
        </w:numPr>
        <w:pStyle w:val="Compact"/>
      </w:pPr>
      <w:r>
        <w:rPr>
          <w:bCs/>
          <w:b/>
        </w:rPr>
        <w:t xml:space="preserve">EoL Specifics:</w:t>
      </w:r>
      <w:r>
        <w:t xml:space="preserve"> </w:t>
      </w:r>
      <w:r>
        <w:t xml:space="preserve">Gather detailed data on End-of-Life treatment processes for the product\'s components (e.g., specific landfill emission factors, material-specific recycling efficiency, and avoided burden factors for recycled content).</w:t>
      </w:r>
    </w:p>
    <w:p>
      <w:pPr>
        <w:numPr>
          <w:ilvl w:val="0"/>
          <w:numId w:val="1013"/>
        </w:numPr>
        <w:pStyle w:val="Compact"/>
      </w:pPr>
      <w:r>
        <w:rPr>
          <w:bCs/>
          <w:b/>
        </w:rPr>
        <w:t xml:space="preserve">Material Optimization:</w:t>
      </w:r>
      <w:r>
        <w:t xml:space="preserve"> </w:t>
      </w:r>
      <w:r>
        <w:t xml:space="preserve">Given that material acquisition is the largest hotspot, explore opportunities for:</w:t>
      </w:r>
    </w:p>
    <w:p>
      <w:pPr>
        <w:numPr>
          <w:ilvl w:val="1"/>
          <w:numId w:val="1015"/>
        </w:numPr>
        <w:pStyle w:val="Compact"/>
      </w:pPr>
      <w:r>
        <w:t xml:space="preserve">Sourcing materials with certified lower carbon footprints or higher post-consumer recycled content.</w:t>
      </w:r>
    </w:p>
    <w:p>
      <w:pPr>
        <w:numPr>
          <w:ilvl w:val="1"/>
          <w:numId w:val="1015"/>
        </w:numPr>
        <w:pStyle w:val="Compact"/>
      </w:pPr>
      <w:r>
        <w:t xml:space="preserve">Redesigning components to reduce overall material intensity.</w:t>
      </w:r>
    </w:p>
    <w:p>
      <w:pPr>
        <w:numPr>
          <w:ilvl w:val="0"/>
          <w:numId w:val="1013"/>
        </w:numPr>
        <w:pStyle w:val="Compact"/>
      </w:pPr>
      <w:r>
        <w:rPr>
          <w:bCs/>
          <w:b/>
        </w:rPr>
        <w:t xml:space="preserve">Energy Efficiency in Use:</w:t>
      </w:r>
      <w:r>
        <w:t xml:space="preserve"> </w:t>
      </w:r>
      <w:r>
        <w:t xml:space="preserve">Invest in product design innovations that significantly reduce energy consumption during the `njmwxnklij` product lifespan. This could include higher efficiency components or smart energy management features.</w:t>
      </w:r>
    </w:p>
    <w:p>
      <w:pPr>
        <w:numPr>
          <w:ilvl w:val="0"/>
          <w:numId w:val="1013"/>
        </w:numPr>
        <w:pStyle w:val="Compact"/>
      </w:pPr>
      <w:r>
        <w:rPr>
          <w:bCs/>
          <w:b/>
        </w:rPr>
        <w:t xml:space="preserve">Manufacturing Energy Transition:</w:t>
      </w:r>
      <w:r>
        <w:t xml:space="preserve"> </w:t>
      </w:r>
      <w:r>
        <w:t xml:space="preserve">Accelerate the transition to 100% renewable energy at the production facility in China to eliminate Scope 2 emissions.</w:t>
      </w:r>
    </w:p>
    <w:p>
      <w:pPr>
        <w:numPr>
          <w:ilvl w:val="0"/>
          <w:numId w:val="1013"/>
        </w:numPr>
        <w:pStyle w:val="Compact"/>
      </w:pPr>
      <w:r>
        <w:rPr>
          <w:bCs/>
          <w:b/>
        </w:rPr>
        <w:t xml:space="preserve">Circular Economy Integration:</w:t>
      </w:r>
      <w:r>
        <w:t xml:space="preserve"> </w:t>
      </w:r>
      <w:r>
        <w:t xml:space="preserve">Strengthen and expand the `ryfjzgsuhi` circular/take-back programs to maximize the actual collection and recycling rate of wxkxnltxpj, further increasing avoided emissions benefits.</w:t>
      </w:r>
    </w:p>
    <w:p>
      <w:pPr>
        <w:pStyle w:val="FirstParagraph"/>
      </w:pPr>
      <w:r>
        <w:t xml:space="preserve">This report provides a foundational understanding of wxkxnltxpj\'s carbon footprint. By addressing the identified data gaps and implementing these recommendations, xdwgksjhuj can significantly improve its environmental performance and strategically reduce its carbon emissions in line with global sustainability goals.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wxkxnltxpj</dc:title>
  <dc:creator/>
  <dc:description>Detailed Product Carbon Footprint (PCF) analysis for wxkxnltxpj, following GHG Protocol standards, conducted by xdwgksjhuj.</dc:description>
  <dc:language>en</dc:language>
  <cp:keywords/>
  <dcterms:created xsi:type="dcterms:W3CDTF">2026-07-15T05:08:43Z</dcterms:created>
  <dcterms:modified xsi:type="dcterms:W3CDTF">2026-07-15T05:08:43Z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