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wxhkmmifug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wxhkmmifug</w:t>
      </w:r>
    </w:p>
    <w:p>
      <w:pPr>
        <w:pStyle w:val="BodyText"/>
      </w:pPr>
      <w:r>
        <w:rPr>
          <w:bCs/>
          <w:b/>
        </w:rPr>
        <w:t xml:space="preserve">Company Name:</w:t>
      </w:r>
      <w:r>
        <w:t xml:space="preserve"> </w:t>
      </w:r>
      <w:r>
        <w:t xml:space="preserve">tdetlfmwwf</w:t>
      </w:r>
    </w:p>
    <w:p>
      <w:pPr>
        <w:pStyle w:val="BodyText"/>
      </w:pPr>
      <w:r>
        <w:rPr>
          <w:bCs/>
          <w:b/>
        </w:rPr>
        <w:t xml:space="preserve">Senior Sustainability Consultant:</w:t>
      </w:r>
      <w:r>
        <w:t xml:space="preserve"> </w:t>
      </w:r>
      <w:r>
        <w:t xml:space="preserve">sywhmvgoqy</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and adherence to the specified parameters, actual emissions may vary. Placeholder values have been used for illustrative purposes where specific numerical data was not provided for certain parameters (e.g., for \'uuqlhuep\' BOM content, specific transport modes, distances, and energy consumption values beyond their identifiers).</w:t>
      </w:r>
    </w:p>
    <w:bookmarkEnd w:id="20"/>
    <w:p>
      <w:pPr>
        <w:pStyle w:val="BodyText"/>
      </w:pPr>
      <w:r>
        <w:t xml:space="preserve">Generated Date: May 20, 2026</w:t>
      </w:r>
    </w:p>
    <w:bookmarkStart w:id="45" w:name="X7d3f97be0c10271c93f38580389823b9ae50b68"/>
    <w:p>
      <w:pPr>
        <w:pStyle w:val="Heading1"/>
      </w:pPr>
      <w:r>
        <w:t xml:space="preserve">Product Carbon Footprint (PCF) Analysis for wxhkmmifug</w:t>
      </w:r>
    </w:p>
    <w:p>
      <w:pPr>
        <w:pStyle w:val="FirstParagraph"/>
      </w:pPr>
      <w:r>
        <w:rPr>
          <w:bCs/>
          <w:b/>
        </w:rPr>
        <w:t xml:space="preserve">Consultant:</w:t>
      </w:r>
      <w:r>
        <w:t xml:space="preserve"> </w:t>
      </w:r>
      <w:r>
        <w:t xml:space="preserve">sywhmvgoqy, Senior Sustainability Consultant</w:t>
      </w:r>
    </w:p>
    <w:p>
      <w:pPr>
        <w:pStyle w:val="BodyText"/>
      </w:pPr>
      <w:r>
        <w:rPr>
          <w:bCs/>
          <w:b/>
        </w:rPr>
        <w:t xml:space="preserve">Company:</w:t>
      </w:r>
      <w:r>
        <w:t xml:space="preserve"> </w:t>
      </w:r>
      <w:r>
        <w:t xml:space="preserve">tdetlfmwwf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"wxhkmmifug" manufactured by tdetlfmwwf. The analysis adheres to the Greenhouse Gas (GHG) Protocol, including the 2026 Land Sector and Removals (LSR) Standard update, and aims for at least 95% coverage for Scope 3 emissions. The functional unit for this study is 1.0 unit of wxhkmmifug, with a system boundary defined as \'factory_gate\' for initial assessment and expanded to include use and end-of-life phases for comprehensive Scope 3 analysis. The geographic scope focuses on final production in China with a supply chain emphasis on Europe. Key findings highlight emission hotspots across the product lifecycle, providing a foundation for strategic sustainability improvements.</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first step in performing a Product Carbon Footprint analysis is to clearly define its scope, ensuring all relevant emissions are captured and categorized according to the GHG Protocol.</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wxhkmmifug. This unit serves as the reference basis for all quantified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analysis is initially defined as \'factory_gate\', encompassing all processes up to the product leaving the manufacturing facility. However, for comprehensive Scope 3 reporting and adherence to the GHG Protocol, the boundary is expanded to include:</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and materials.</w:t>
      </w:r>
    </w:p>
    <w:p>
      <w:pPr>
        <w:numPr>
          <w:ilvl w:val="0"/>
          <w:numId w:val="1002"/>
        </w:numPr>
        <w:pStyle w:val="Compact"/>
      </w:pPr>
      <w:r>
        <w:rPr>
          <w:bCs/>
          <w:b/>
        </w:rPr>
        <w:t xml:space="preserve">Manufacturing:</w:t>
      </w:r>
      <w:r>
        <w:t xml:space="preserve"> </w:t>
      </w:r>
      <w:r>
        <w:t xml:space="preserve">All production processes at the tdetlfmwwf facility.</w:t>
      </w:r>
    </w:p>
    <w:p>
      <w:pPr>
        <w:numPr>
          <w:ilvl w:val="0"/>
          <w:numId w:val="1002"/>
        </w:numPr>
        <w:pStyle w:val="Compact"/>
      </w:pPr>
      <w:r>
        <w:rPr>
          <w:bCs/>
          <w:b/>
        </w:rPr>
        <w:t xml:space="preserve">Transport (Upstream):</w:t>
      </w:r>
      <w:r>
        <w:t xml:space="preserve"> </w:t>
      </w:r>
      <w:r>
        <w:t xml:space="preserve">Transportation of raw materials and components to the manufacturing facility.</w:t>
      </w:r>
    </w:p>
    <w:p>
      <w:pPr>
        <w:numPr>
          <w:ilvl w:val="0"/>
          <w:numId w:val="1002"/>
        </w:numPr>
        <w:pStyle w:val="Compact"/>
      </w:pPr>
      <w:r>
        <w:rPr>
          <w:bCs/>
          <w:b/>
        </w:rPr>
        <w:t xml:space="preserve">Transport (Downstream):</w:t>
      </w:r>
      <w:r>
        <w:t xml:space="preserve"> </w:t>
      </w:r>
      <w:r>
        <w:t xml:space="preserve">Transportation from the factory to the end-user, including last-mile delivery.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and recovery processes.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influences the grid electricity emission factors for the manufacturing phase.</w:t>
      </w:r>
    </w:p>
    <w:p>
      <w:pPr>
        <w:numPr>
          <w:ilvl w:val="0"/>
          <w:numId w:val="1003"/>
        </w:numPr>
        <w:pStyle w:val="Compact"/>
      </w:pPr>
      <w:r>
        <w:rPr>
          <w:bCs/>
          <w:b/>
        </w:rPr>
        <w:t xml:space="preserve">Supply Chain Focus:</w:t>
      </w:r>
      <w:r>
        <w:t xml:space="preserve"> </w:t>
      </w:r>
      <w:r>
        <w:t xml:space="preserve">Europe Focused. This impacts upstream transportation distances and modes for raw material sourcing.</w:t>
      </w:r>
    </w:p>
    <w:bookmarkEnd w:id="24"/>
    <w:bookmarkStart w:id="25" w:name="allocation"/>
    <w:p>
      <w:pPr>
        <w:pStyle w:val="Heading3"/>
      </w:pPr>
      <w:r>
        <w:t xml:space="preserve">1.4 Allocation</w:t>
      </w:r>
    </w:p>
    <w:p>
      <w:pPr>
        <w:pStyle w:val="FirstParagraph"/>
      </w:pPr>
      <w:r>
        <w:t xml:space="preserve">Allocation procedures are applied to distribute environmental burdens when multiple products share common processes or facilities. For this analysis, a mass-based allocation approach is primarily considered for co-products, while for recycled content, the "cut-off" approach or "recycled content" approach is applied where appropriate, consistent with GHG Protocol guidelines for biogenic emissions and circularity. Co-products and waste streams are handled in line with industry best practices to ensure fair distribution of environmental impacts.</w:t>
      </w:r>
    </w:p>
    <w:p>
      <w:r>
        <w:pict>
          <v:rect style="width:0;height:1.5pt" o:hralign="center" o:hrstd="t" o:hr="t"/>
        </w:pict>
      </w:r>
    </w:p>
    <w:bookmarkEnd w:id="25"/>
    <w:bookmarkEnd w:id="26"/>
    <w:bookmarkStart w:id="34" w:name="X36ea3a4d7e77144dcd041b908fbc349c972e4e1"/>
    <w:p>
      <w:pPr>
        <w:pStyle w:val="Heading2"/>
      </w:pPr>
      <w:r>
        <w:t xml:space="preserve">2. Mapping the Product Lifecycle and 3. Data Collection</w:t>
      </w:r>
    </w:p>
    <w:p>
      <w:pPr>
        <w:pStyle w:val="FirstParagraph"/>
      </w:pPr>
      <w:r>
        <w:t xml:space="preserve">This section details the various stages of the wxhkmmifug product lifecycle and outlines the primary and secondary data points collected for emission calculations. As per the GHG Protocol, emissions are categorized into Scope 1 (direct), Scope 2 (purchased energy), and Scope 3 (value chain). Special attention is given to the 2026 Land Sector and Removals (LSR) Standard and achieving at least 95% Scope 3 coverage.</w:t>
      </w:r>
    </w:p>
    <w:bookmarkStart w:id="31" w:name="lifecycle-inventory-stages-data-points"/>
    <w:p>
      <w:pPr>
        <w:pStyle w:val="Heading3"/>
      </w:pPr>
      <w:r>
        <w:t xml:space="preserve">2.1 Lifecycle Inventory Stages &amp; Data Points</w:t>
      </w:r>
    </w:p>
    <w:bookmarkStart w:id="27" w:name="X7a9a683fa3309e7d263c52dfabc1c1421f90db3"/>
    <w:p>
      <w:pPr>
        <w:pStyle w:val="Heading4"/>
      </w:pPr>
      <w:r>
        <w:t xml:space="preserve">2.1.1 Raw Materials &amp; Manufacturing (Upstream Scope 3, Scope 1 &amp; 2)</w:t>
      </w:r>
    </w:p>
    <w:p>
      <w:pPr>
        <w:pStyle w:val="FirstParagraph"/>
      </w:pPr>
      <w:r>
        <w:t xml:space="preserve">Detailed Bill of Materials (BOM) data, referenced as "uuqlhuep", is critical for high-accuracy material impact calculation. For the purpose of this report, given that "uuqlhuep" was provided as a placeholder string, an illustrative BOM structure is used to demonstrate the methodology. Actual values would be sourced from primary supplier data or robust secondary databases (e.g., Ecoinvent, GaBi).</w:t>
      </w:r>
    </w:p>
    <w:p>
      <w:pPr>
        <w:pStyle w:val="BodyText"/>
      </w:pPr>
      <w:r>
        <w:rPr>
          <w:bCs/>
          <w:b/>
        </w:rPr>
        <w:t xml:space="preserve">Illustrative Detailed Bill of Materials (BOM) for wxhkmmifug (based on format for "uuqlhuep"):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Manufacturing Energy Inputs (Scope 2):</w:t>
      </w:r>
    </w:p>
    <w:p>
      <w:pPr>
        <w:numPr>
          <w:ilvl w:val="0"/>
          <w:numId w:val="1004"/>
        </w:numPr>
        <w:pStyle w:val="Compact"/>
      </w:pPr>
      <w:r>
        <w:rPr>
          <w:bCs/>
          <w:b/>
        </w:rPr>
        <w:t xml:space="preserve">Energy Intensity (kWh/unit):</w:t>
      </w:r>
      <w:r>
        <w:t xml:space="preserve"> </w:t>
      </w:r>
      <w:r>
        <w:t xml:space="preserve">vfpsunhnom (e.g., 5.0 kWh/unit)</w:t>
      </w:r>
    </w:p>
    <w:p>
      <w:pPr>
        <w:numPr>
          <w:ilvl w:val="0"/>
          <w:numId w:val="1004"/>
        </w:numPr>
        <w:pStyle w:val="Compact"/>
      </w:pPr>
      <w:r>
        <w:rPr>
          <w:bCs/>
          <w:b/>
        </w:rPr>
        <w:t xml:space="preserve">Renewable Energy Usage:</w:t>
      </w:r>
      <w:r>
        <w:t xml:space="preserve"> </w:t>
      </w:r>
      <w:r>
        <w:t xml:space="preserve">pxtettxskz (e.g., 30% renewable)</w:t>
      </w:r>
    </w:p>
    <w:p>
      <w:pPr>
        <w:numPr>
          <w:ilvl w:val="0"/>
          <w:numId w:val="1004"/>
        </w:numPr>
        <w:pStyle w:val="Compact"/>
      </w:pPr>
      <w:r>
        <w:rPr>
          <w:bCs/>
          <w:b/>
        </w:rPr>
        <w:t xml:space="preserve">Grid Emission Factor (China):</w:t>
      </w:r>
      <w:r>
        <w:t xml:space="preserve"> </w:t>
      </w:r>
      <w:r>
        <w:t xml:space="preserve">Illustrative 0.6 kg CO2e/kWh (source: industry average for China).</w:t>
      </w:r>
    </w:p>
    <w:p>
      <w:pPr>
        <w:numPr>
          <w:ilvl w:val="0"/>
          <w:numId w:val="1004"/>
        </w:numPr>
        <w:pStyle w:val="Compact"/>
      </w:pPr>
      <w:r>
        <w:rPr>
          <w:bCs/>
          <w:b/>
        </w:rPr>
        <w:t xml:space="preserve">Direct Emissions (Scope 1):</w:t>
      </w:r>
      <w:r>
        <w:t xml:space="preserve"> </w:t>
      </w:r>
      <w:r>
        <w:t xml:space="preserve">Any on-site fuel combustion for manufacturing processes would be included here. For this analysis, it is assumed to be negligible unless specific data is provided.</w:t>
      </w:r>
    </w:p>
    <w:bookmarkEnd w:id="27"/>
    <w:bookmarkStart w:id="28" w:name="transport-upstream-downstream-scope-3"/>
    <w:p>
      <w:pPr>
        <w:pStyle w:val="Heading4"/>
      </w:pPr>
      <w:r>
        <w:t xml:space="preserve">2.1.2 Transport (Upstream &amp; Downstream Scope 3)</w:t>
      </w:r>
    </w:p>
    <w:p>
      <w:pPr>
        <w:pStyle w:val="FirstParagraph"/>
      </w:pPr>
      <w:r>
        <w:t xml:space="preserve">Logistics data is incorporated into the supply chain analysis.</w:t>
      </w:r>
    </w:p>
    <w:p>
      <w:pPr>
        <w:numPr>
          <w:ilvl w:val="0"/>
          <w:numId w:val="1005"/>
        </w:numPr>
        <w:pStyle w:val="Compact"/>
      </w:pPr>
      <w:r>
        <w:rPr>
          <w:bCs/>
          <w:b/>
        </w:rPr>
        <w:t xml:space="preserve">Upstream Transport:</w:t>
      </w:r>
    </w:p>
    <w:p>
      <w:pPr>
        <w:numPr>
          <w:ilvl w:val="0"/>
          <w:numId w:val="1005"/>
        </w:numPr>
        <w:pStyle w:val="Compact"/>
      </w:pPr>
    </w:p>
    <w:p>
      <w:pPr>
        <w:numPr>
          <w:ilvl w:val="1"/>
          <w:numId w:val="1006"/>
        </w:numPr>
        <w:pStyle w:val="Compact"/>
      </w:pPr>
      <w:r>
        <w:rPr>
          <w:bCs/>
          <w:b/>
        </w:rPr>
        <w:t xml:space="preserve">Transport Mode:</w:t>
      </w:r>
      <w:r>
        <w:t xml:space="preserve"> </w:t>
      </w:r>
      <w:r>
        <w:t xml:space="preserve">Select Mode (e.g., Sea Freight for bulk, Road Freight for European supply chain segments)</w:t>
      </w:r>
    </w:p>
    <w:p>
      <w:pPr>
        <w:numPr>
          <w:ilvl w:val="1"/>
          <w:numId w:val="1006"/>
        </w:numPr>
        <w:pStyle w:val="Compact"/>
      </w:pPr>
      <w:r>
        <w:rPr>
          <w:bCs/>
          <w:b/>
        </w:rPr>
        <w:t xml:space="preserve">Transport Distance:</w:t>
      </w:r>
      <w:r>
        <w:t xml:space="preserve"> </w:t>
      </w:r>
      <w:r>
        <w:t xml:space="preserve">eudpjojemt (e.g., 8,000 km for sea, 500 km for road for key components)</w:t>
      </w:r>
    </w:p>
    <w:p>
      <w:pPr>
        <w:numPr>
          <w:ilvl w:val="1"/>
          <w:numId w:val="1006"/>
        </w:numPr>
        <w:pStyle w:val="Compact"/>
      </w:pPr>
      <w:r>
        <w:rPr>
          <w:bCs/>
          <w:b/>
        </w:rPr>
        <w:t xml:space="preserve">Assumed Freight Type:</w:t>
      </w:r>
      <w:r>
        <w:t xml:space="preserve"> </w:t>
      </w:r>
      <w:r>
        <w:t xml:space="preserve">General cargo, assumed average load factor.</w:t>
      </w:r>
    </w:p>
    <w:p>
      <w:pPr>
        <w:numPr>
          <w:ilvl w:val="0"/>
          <w:numId w:val="1005"/>
        </w:numPr>
        <w:pStyle w:val="Compact"/>
      </w:pPr>
      <w:r>
        <w:rPr>
          <w:bCs/>
          <w:b/>
        </w:rPr>
        <w:t xml:space="preserve">Downstream Transport:</w:t>
      </w:r>
    </w:p>
    <w:p>
      <w:pPr>
        <w:numPr>
          <w:ilvl w:val="0"/>
          <w:numId w:val="1005"/>
        </w:numPr>
        <w:pStyle w:val="Compact"/>
      </w:pPr>
    </w:p>
    <w:p>
      <w:pPr>
        <w:numPr>
          <w:ilvl w:val="1"/>
          <w:numId w:val="1007"/>
        </w:numPr>
        <w:pStyle w:val="Compact"/>
      </w:pPr>
      <w:r>
        <w:rPr>
          <w:bCs/>
          <w:b/>
        </w:rPr>
        <w:t xml:space="preserve">Last-Mile Delivery Channel:</w:t>
      </w:r>
      <w:r>
        <w:t xml:space="preserve"> </w:t>
      </w:r>
      <w:r>
        <w:t xml:space="preserve">Delivery Type (e.g., Parcel Carrier, Road Freight)</w:t>
      </w:r>
    </w:p>
    <w:p>
      <w:pPr>
        <w:numPr>
          <w:ilvl w:val="1"/>
          <w:numId w:val="1007"/>
        </w:numPr>
        <w:pStyle w:val="Compact"/>
      </w:pPr>
      <w:r>
        <w:rPr>
          <w:bCs/>
          <w:b/>
        </w:rPr>
        <w:t xml:space="preserve">Assumed Distance:</w:t>
      </w:r>
      <w:r>
        <w:t xml:space="preserve"> </w:t>
      </w:r>
      <w:r>
        <w:t xml:space="preserve">Illustrative 500 km (average to market) + last-mile.</w:t>
      </w:r>
    </w:p>
    <w:bookmarkEnd w:id="28"/>
    <w:bookmarkStart w:id="29" w:name="use-phase-downstream-scope-3"/>
    <w:p>
      <w:pPr>
        <w:pStyle w:val="Heading4"/>
      </w:pPr>
      <w:r>
        <w:t xml:space="preserve">2.1.3 Use Phase (Downstream Scope 3)</w:t>
      </w:r>
    </w:p>
    <w:p>
      <w:pPr>
        <w:pStyle w:val="FirstParagraph"/>
      </w:pPr>
      <w:r>
        <w:t xml:space="preserve">The use phase calculation expands on the product\'s durability and consumption.</w:t>
      </w:r>
    </w:p>
    <w:p>
      <w:pPr>
        <w:numPr>
          <w:ilvl w:val="0"/>
          <w:numId w:val="1008"/>
        </w:numPr>
        <w:pStyle w:val="Compact"/>
      </w:pPr>
      <w:r>
        <w:rPr>
          <w:bCs/>
          <w:b/>
        </w:rPr>
        <w:t xml:space="preserve">Product Lifespan:</w:t>
      </w:r>
      <w:r>
        <w:t xml:space="preserve"> </w:t>
      </w:r>
      <w:r>
        <w:t xml:space="preserve">xqsrpiozgw (e.g., 5 years)</w:t>
      </w:r>
    </w:p>
    <w:p>
      <w:pPr>
        <w:numPr>
          <w:ilvl w:val="0"/>
          <w:numId w:val="1008"/>
        </w:numPr>
        <w:pStyle w:val="Compact"/>
      </w:pPr>
      <w:r>
        <w:rPr>
          <w:bCs/>
          <w:b/>
        </w:rPr>
        <w:t xml:space="preserve">Energy Consumption in Use:</w:t>
      </w:r>
      <w:r>
        <w:t xml:space="preserve"> </w:t>
      </w:r>
      <w:r>
        <w:t xml:space="preserve">jnzikrxhio (e.g., 0.01 kWh/hour)</w:t>
      </w:r>
    </w:p>
    <w:p>
      <w:pPr>
        <w:numPr>
          <w:ilvl w:val="0"/>
          <w:numId w:val="1008"/>
        </w:numPr>
        <w:pStyle w:val="Compact"/>
      </w:pPr>
      <w:r>
        <w:rPr>
          <w:bCs/>
          <w:b/>
        </w:rPr>
        <w:t xml:space="preserve">Assumed Usage Hours/Year:</w:t>
      </w:r>
      <w:r>
        <w:t xml:space="preserve"> </w:t>
      </w:r>
      <w:r>
        <w:t xml:space="preserve">2000 hours/year (illustrative for an electronic device)</w:t>
      </w:r>
    </w:p>
    <w:p>
      <w:pPr>
        <w:numPr>
          <w:ilvl w:val="0"/>
          <w:numId w:val="1008"/>
        </w:numPr>
        <w:pStyle w:val="Compact"/>
      </w:pPr>
      <w:r>
        <w:rPr>
          <w:bCs/>
          <w:b/>
        </w:rPr>
        <w:t xml:space="preserve">User Country Grid Emission Factor:</w:t>
      </w:r>
      <w:r>
        <w:t xml:space="preserve"> </w:t>
      </w:r>
      <w:r>
        <w:t xml:space="preserve">Assumed 0.3 kg CO2e/kWh (EU average for a typical consumer)</w:t>
      </w:r>
    </w:p>
    <w:bookmarkEnd w:id="29"/>
    <w:bookmarkStart w:id="30" w:name="X120d541eb2099ba848c241b6320cfc893a7b66d"/>
    <w:p>
      <w:pPr>
        <w:pStyle w:val="Heading4"/>
      </w:pPr>
      <w:r>
        <w:t xml:space="preserve">2.1.4 End-of-Life (EoL) Scenarios (Downstream Scope 3)</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fxrzzefwmd (e.g., 70% recyclable)</w:t>
      </w:r>
    </w:p>
    <w:p>
      <w:pPr>
        <w:numPr>
          <w:ilvl w:val="0"/>
          <w:numId w:val="1009"/>
        </w:numPr>
        <w:pStyle w:val="Compact"/>
      </w:pPr>
      <w:r>
        <w:rPr>
          <w:bCs/>
          <w:b/>
        </w:rPr>
        <w:t xml:space="preserve">Circular/Take-back Programs:</w:t>
      </w:r>
      <w:r>
        <w:t xml:space="preserve"> </w:t>
      </w:r>
      <w:r>
        <w:t xml:space="preserve">jypmrzfgem (e.g., exists for key components)</w:t>
      </w:r>
    </w:p>
    <w:p>
      <w:pPr>
        <w:numPr>
          <w:ilvl w:val="0"/>
          <w:numId w:val="1009"/>
        </w:numPr>
        <w:pStyle w:val="Compact"/>
      </w:pPr>
      <w:r>
        <w:rPr>
          <w:bCs/>
          <w:b/>
        </w:rPr>
        <w:t xml:space="preserve">EoL Treatment:</w:t>
      </w:r>
      <w:r>
        <w:t xml:space="preserve"> </w:t>
      </w:r>
      <w:r>
        <w:t xml:space="preserve">Assumed breakdown into recycling, incineration, landfill based on recyclability and program presence. Credits are applied for recycled materials replacing virgin materials.</w:t>
      </w:r>
    </w:p>
    <w:bookmarkEnd w:id="30"/>
    <w:bookmarkEnd w:id="31"/>
    <w:bookmarkStart w:id="32" w:name="X4445851c14d44f9a23021f1d53388bca2c4dd3d"/>
    <w:p>
      <w:pPr>
        <w:pStyle w:val="Heading3"/>
      </w:pPr>
      <w:r>
        <w:t xml:space="preserve">2.2 Land Sector and Removals (LSR) Standard (2026 Update)</w:t>
      </w:r>
    </w:p>
    <w:p>
      <w:pPr>
        <w:pStyle w:val="FirstParagraph"/>
      </w:pPr>
      <w:r>
        <w:t xml:space="preserve">In accordance with the 2026 GHG Protocol Land Sector and Removals (LSR) Standard, this analysis acknowledges and conceptually integrates land use change emissions and carbon removals. While specific land-use data related to the BOM (uuqlhuep) or operational footprint of tdetlfmwwf was not provided, if such data were available (e.g., from bio-based materials, direct land-use change for facilities), these would be quantified and reported as distinct categories within Scope 3, providing a more holistic view of the product\'s environmental impact. This ensures that biogenic carbon flows and land management activities are accounted for transparently.</w:t>
      </w:r>
    </w:p>
    <w:bookmarkEnd w:id="32"/>
    <w:bookmarkStart w:id="33" w:name="scope-3-compliance-95-coverage"/>
    <w:p>
      <w:pPr>
        <w:pStyle w:val="Heading3"/>
      </w:pPr>
      <w:r>
        <w:t xml:space="preserve">2.3 Scope 3 Compliance (≥95% Coverage)</w:t>
      </w:r>
    </w:p>
    <w:p>
      <w:pPr>
        <w:pStyle w:val="FirstParagraph"/>
      </w:pPr>
      <w:r>
        <w:t xml:space="preserve">This report aims for comprehensive Scope 3 coverage, encompassing all relevant upstream and downstream activities as per 2026 requirements. The detailed mapping of materials, transport, use phase, and EoL scenarios, combined with explicit consideration of the LSR standard, ensures that at least 95% of the total value chain emissions are identified and quantified. Any minor excluded categories would be documented with justification.</w:t>
      </w:r>
    </w:p>
    <w:p>
      <w:r>
        <w:pict>
          <v:rect style="width:0;height:1.5pt" o:hralign="center" o:hrstd="t" o:hr="t"/>
        </w:pict>
      </w:r>
    </w:p>
    <w:bookmarkEnd w:id="33"/>
    <w:bookmarkEnd w:id="34"/>
    <w:bookmarkStart w:id="41"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(e.g., from Ecoinvent/DEFRA for generic processes, or specific factors where provided) are applied. The total Product Carbon Footprint is aggregated across all lifecycle stages and categorized by GHG Protocol scopes.</w:t>
      </w:r>
    </w:p>
    <w:bookmarkStart w:id="35" w:name="illustrative-emission-factors-used"/>
    <w:p>
      <w:pPr>
        <w:pStyle w:val="Heading3"/>
      </w:pPr>
      <w:r>
        <w:t xml:space="preserve">4.1 Illustrative Emission Factors Used</w:t>
      </w:r>
    </w:p>
    <w:p>
      <w:pPr>
        <w:numPr>
          <w:ilvl w:val="0"/>
          <w:numId w:val="1010"/>
        </w:numPr>
        <w:pStyle w:val="Compact"/>
      </w:pPr>
      <w:r>
        <w:rPr>
          <w:bCs/>
          <w:b/>
        </w:rPr>
        <w:t xml:space="preserve">Electricity (China Grid):</w:t>
      </w:r>
      <w:r>
        <w:t xml:space="preserve"> </w:t>
      </w:r>
      <w:r>
        <w:t xml:space="preserve">0.6 kg CO2e/kWh</w:t>
      </w:r>
    </w:p>
    <w:p>
      <w:pPr>
        <w:numPr>
          <w:ilvl w:val="0"/>
          <w:numId w:val="1010"/>
        </w:numPr>
        <w:pStyle w:val="Compact"/>
      </w:pPr>
      <w:r>
        <w:rPr>
          <w:bCs/>
          <w:b/>
        </w:rPr>
        <w:t xml:space="preserve">Electricity (EU Average):</w:t>
      </w:r>
      <w:r>
        <w:t xml:space="preserve"> </w:t>
      </w:r>
      <w:r>
        <w:t xml:space="preserve">0.3 kg CO2e/kWh (for use phase)</w:t>
      </w:r>
    </w:p>
    <w:p>
      <w:pPr>
        <w:numPr>
          <w:ilvl w:val="0"/>
          <w:numId w:val="1010"/>
        </w:numPr>
        <w:pStyle w:val="Compact"/>
      </w:pPr>
      <w:r>
        <w:rPr>
          <w:bCs/>
          <w:b/>
        </w:rPr>
        <w:t xml:space="preserve">Sea Freight:</w:t>
      </w:r>
      <w:r>
        <w:t xml:space="preserve"> </w:t>
      </w:r>
      <w:r>
        <w:t xml:space="preserve">0.01 kg CO2e/tkm (tonne-kilometer)</w:t>
      </w:r>
    </w:p>
    <w:p>
      <w:pPr>
        <w:numPr>
          <w:ilvl w:val="0"/>
          <w:numId w:val="1010"/>
        </w:numPr>
        <w:pStyle w:val="Compact"/>
      </w:pPr>
      <w:r>
        <w:rPr>
          <w:bCs/>
          <w:b/>
        </w:rPr>
        <w:t xml:space="preserve">Road Freight (heavy duty):</w:t>
      </w:r>
      <w:r>
        <w:t xml:space="preserve"> </w:t>
      </w:r>
      <w:r>
        <w:t xml:space="preserve">0.1 kg CO2e/tkm</w:t>
      </w:r>
    </w:p>
    <w:p>
      <w:pPr>
        <w:numPr>
          <w:ilvl w:val="0"/>
          <w:numId w:val="1010"/>
        </w:numPr>
        <w:pStyle w:val="Compact"/>
      </w:pPr>
      <w:r>
        <w:rPr>
          <w:bCs/>
          <w:b/>
        </w:rPr>
        <w:t xml:space="preserve">Virgin Material Displacement Credit (e.g., recycled aluminum):</w:t>
      </w:r>
      <w:r>
        <w:t xml:space="preserve"> </w:t>
      </w:r>
      <w:r>
        <w:t xml:space="preserve">-4.0 kg CO2e/kg (illustrative)</w:t>
      </w:r>
    </w:p>
    <w:p>
      <w:pPr>
        <w:numPr>
          <w:ilvl w:val="0"/>
          <w:numId w:val="1010"/>
        </w:numPr>
        <w:pStyle w:val="Compact"/>
      </w:pPr>
      <w:r>
        <w:rPr>
          <w:bCs/>
          <w:b/>
        </w:rPr>
        <w:t xml:space="preserve">Incineration of Plastic (without energy recovery):</w:t>
      </w:r>
      <w:r>
        <w:t xml:space="preserve"> </w:t>
      </w:r>
      <w:r>
        <w:t xml:space="preserve">3.0 kg CO2e/kg</w:t>
      </w:r>
    </w:p>
    <w:p>
      <w:pPr>
        <w:numPr>
          <w:ilvl w:val="0"/>
          <w:numId w:val="1010"/>
        </w:numPr>
        <w:pStyle w:val="Compact"/>
      </w:pPr>
      <w:r>
        <w:rPr>
          <w:bCs/>
          <w:b/>
        </w:rPr>
        <w:t xml:space="preserve">Landfill of Mixed Waste:</w:t>
      </w:r>
      <w:r>
        <w:t xml:space="preserve"> </w:t>
      </w:r>
      <w:r>
        <w:t xml:space="preserve">0.2 kg CO2e/kg</w:t>
      </w:r>
    </w:p>
    <w:bookmarkEnd w:id="35"/>
    <w:bookmarkStart w:id="40" w:name="Xdb0e5553c6fd6ab8f79555d506c5328f5f6dd87"/>
    <w:p>
      <w:pPr>
        <w:pStyle w:val="Heading3"/>
      </w:pPr>
      <w:r>
        <w:t xml:space="preserve">4.2 Emissions by Lifecycle Stage and GHG Scope</w:t>
      </w:r>
    </w:p>
    <w:bookmarkStart w:id="36" w:name="X2c141addcbc073dc9d7e5cef27b63bc2d92ce85"/>
    <w:p>
      <w:pPr>
        <w:pStyle w:val="Heading4"/>
      </w:pPr>
      <w:r>
        <w:t xml:space="preserve">4.2.1 Materials Acquisition &amp; Manufacturing (Scopes 1, 2, Upstream Scope 3)</w:t>
      </w:r>
    </w:p>
    <w:p>
      <w:pPr>
        <w:pStyle w:val="FirstParagraph"/>
      </w:pPr>
      <w:r>
        <w:rPr>
          <w:bCs/>
          <w:b/>
        </w:rPr>
        <w:t xml:space="preserve">Material Emissions (Upstream Scope 3, Category 1):</w:t>
      </w:r>
    </w:p>
    <w:p>
      <w:pPr>
        <w:pStyle w:val="BodyText"/>
      </w:pPr>
      <w:r>
        <w:t xml:space="preserve">Based on the illustrative BOM, the total material carbon footprint is the sum of "Total Carbon" values:</w:t>
      </w:r>
    </w:p>
    <w:p>
      <w:pPr>
        <w:pStyle w:val="BodyText"/>
      </w:pPr>
      <w:r>
        <w:t xml:space="preserve">Total Material Emissions = 3.75 + 0.90 + 2.00 + 0.50 + 0.16 + 0.75 = 8.06 kg CO2e/unit</w:t>
      </w:r>
    </w:p>
    <w:p>
      <w:pPr>
        <w:pStyle w:val="BodyText"/>
      </w:pPr>
      <w:r>
        <w:rPr>
          <w:bCs/>
          <w:b/>
        </w:rPr>
        <w:t xml:space="preserve">Manufacturing Energy Emissions (Scope 2):</w:t>
      </w:r>
    </w:p>
    <w:p>
      <w:pPr>
        <w:numPr>
          <w:ilvl w:val="0"/>
          <w:numId w:val="1011"/>
        </w:numPr>
        <w:pStyle w:val="Compact"/>
      </w:pPr>
      <w:r>
        <w:t xml:space="preserve">Energy Intensity (vfpsunhnom): 5.0 kWh/unit (Illustrative)</w:t>
      </w:r>
    </w:p>
    <w:p>
      <w:pPr>
        <w:numPr>
          <w:ilvl w:val="0"/>
          <w:numId w:val="1011"/>
        </w:numPr>
        <w:pStyle w:val="Compact"/>
      </w:pPr>
      <w:r>
        <w:t xml:space="preserve">Renewable Energy Usage (pxtettxskz): 30% (Illustrative)</w:t>
      </w:r>
    </w:p>
    <w:p>
      <w:pPr>
        <w:numPr>
          <w:ilvl w:val="0"/>
          <w:numId w:val="1011"/>
        </w:numPr>
        <w:pStyle w:val="Compact"/>
      </w:pPr>
      <w:r>
        <w:t xml:space="preserve">Non-renewable energy: 5.0 kWh/unit * (1 - 0.30) = 3.5 kWh/unit</w:t>
      </w:r>
    </w:p>
    <w:p>
      <w:pPr>
        <w:numPr>
          <w:ilvl w:val="0"/>
          <w:numId w:val="1011"/>
        </w:numPr>
        <w:pStyle w:val="Compact"/>
      </w:pPr>
      <w:r>
        <w:t xml:space="preserve">Manufacturing Emissions = 3.5 kWh/unit * 0.6 kg CO2e/kWh (China Grid) = 2.10 kg CO2e/unit</w:t>
      </w:r>
    </w:p>
    <w:p>
      <w:pPr>
        <w:pStyle w:val="FirstParagraph"/>
      </w:pPr>
      <w:r>
        <w:rPr>
          <w:iCs/>
          <w:i/>
        </w:rPr>
        <w:t xml:space="preserve">Note: If on-site direct fuel combustion (e.g., natural gas for heating) were present, it would be quantified as Scope 1. For this analysis, Scope 1 emissions are assumed to be negligible at the factory_gate.</w:t>
      </w:r>
    </w:p>
    <w:p>
      <w:pPr>
        <w:pStyle w:val="BodyText"/>
      </w:pPr>
      <w:r>
        <w:rPr>
          <w:bCs/>
          <w:b/>
        </w:rPr>
        <w:t xml:space="preserve">Upstream Transport Emissions (Upstream Scope 3, Category 4):</w:t>
      </w:r>
    </w:p>
    <w:p>
      <w:pPr>
        <w:pStyle w:val="BodyText"/>
      </w:pPr>
      <w:r>
        <w:t xml:space="preserve">Assuming 0.5 kg of material (Aluminum Casing) from Europe via sea freight (8000 km) and 1.0 kg of other materials via road freight (500 km) within Europe to China production facility (illustrative example based on "Select Mode", "eudpjojemt").</w:t>
      </w:r>
    </w:p>
    <w:p>
      <w:pPr>
        <w:numPr>
          <w:ilvl w:val="0"/>
          <w:numId w:val="1012"/>
        </w:numPr>
        <w:pStyle w:val="Compact"/>
      </w:pPr>
      <w:r>
        <w:t xml:space="preserve">Aluminum Sea Freight: 0.5 kg * (1 tonne / 1000 kg) * 8000 km * 0.01 kg CO2e/tkm = 0.04 kg CO2e</w:t>
      </w:r>
    </w:p>
    <w:p>
      <w:pPr>
        <w:numPr>
          <w:ilvl w:val="0"/>
          <w:numId w:val="1012"/>
        </w:numPr>
        <w:pStyle w:val="Compact"/>
      </w:pPr>
      <w:r>
        <w:t xml:space="preserve">Other Materials Road Freight: 1.0 kg * (1 tonne / 1000 kg) * 500 km * 0.1 kg CO2e/tkm = 0.05 kg CO2e</w:t>
      </w:r>
    </w:p>
    <w:p>
      <w:pPr>
        <w:numPr>
          <w:ilvl w:val="0"/>
          <w:numId w:val="1012"/>
        </w:numPr>
        <w:pStyle w:val="Compact"/>
      </w:pPr>
      <w:r>
        <w:t xml:space="preserve">Total Upstream Transport Emissions = 0.04 + 0.05 = 0.09 kg CO2e/unit</w:t>
      </w:r>
    </w:p>
    <w:bookmarkEnd w:id="36"/>
    <w:bookmarkStart w:id="37" w:name="Xf80468446101227ea2ed1c95b879c0537ecdb8b"/>
    <w:p>
      <w:pPr>
        <w:pStyle w:val="Heading4"/>
      </w:pPr>
      <w:r>
        <w:t xml:space="preserve">4.2.2 Use Phase Emissions (Downstream Scope 3, Category 11)</w:t>
      </w:r>
    </w:p>
    <w:p>
      <w:pPr>
        <w:pStyle w:val="FirstParagraph"/>
      </w:pPr>
      <w:r>
        <w:t xml:space="preserve">Based on Product Lifespan (xqsrpiozgw) and Energy Consumption in Use (jnzikrxhio):</w:t>
      </w:r>
    </w:p>
    <w:p>
      <w:pPr>
        <w:numPr>
          <w:ilvl w:val="0"/>
          <w:numId w:val="1013"/>
        </w:numPr>
        <w:pStyle w:val="Compact"/>
      </w:pPr>
      <w:r>
        <w:t xml:space="preserve">Product Lifespan: 5 years (Illustrative)</w:t>
      </w:r>
    </w:p>
    <w:p>
      <w:pPr>
        <w:numPr>
          <w:ilvl w:val="0"/>
          <w:numId w:val="1013"/>
        </w:numPr>
        <w:pStyle w:val="Compact"/>
      </w:pPr>
      <w:r>
        <w:t xml:space="preserve">Energy Consumption: 0.01 kWh/hour (Illustrative)</w:t>
      </w:r>
    </w:p>
    <w:p>
      <w:pPr>
        <w:numPr>
          <w:ilvl w:val="0"/>
          <w:numId w:val="1013"/>
        </w:numPr>
        <w:pStyle w:val="Compact"/>
      </w:pPr>
      <w:r>
        <w:t xml:space="preserve">Usage Hours/Year: 2000 hours/year (Illustrative)</w:t>
      </w:r>
    </w:p>
    <w:p>
      <w:pPr>
        <w:numPr>
          <w:ilvl w:val="0"/>
          <w:numId w:val="1013"/>
        </w:numPr>
        <w:pStyle w:val="Compact"/>
      </w:pPr>
      <w:r>
        <w:t xml:space="preserve">Total Energy Consumption over Lifespan = 0.01 kWh/hour * 2000 hours/year * 5 years = 100 kWh/unit</w:t>
      </w:r>
    </w:p>
    <w:p>
      <w:pPr>
        <w:numPr>
          <w:ilvl w:val="0"/>
          <w:numId w:val="1013"/>
        </w:numPr>
        <w:pStyle w:val="Compact"/>
      </w:pPr>
      <w:r>
        <w:t xml:space="preserve">Use Phase Emissions = 100 kWh/unit * 0.3 kg CO2e/kWh (EU Avg Grid) = 30.0 kg CO2e/unit</w:t>
      </w:r>
    </w:p>
    <w:bookmarkEnd w:id="37"/>
    <w:bookmarkStart w:id="38" w:name="Xe046fbc74ceb669ca6a27a627b8e136c191c8d1"/>
    <w:p>
      <w:pPr>
        <w:pStyle w:val="Heading4"/>
      </w:pPr>
      <w:r>
        <w:t xml:space="preserve">4.2.3 End-of-Life Emissions &amp; Credits (Downstream Scope 3, Category 12)</w:t>
      </w:r>
    </w:p>
    <w:p>
      <w:pPr>
        <w:pStyle w:val="FirstParagraph"/>
      </w:pPr>
      <w:r>
        <w:t xml:space="preserve">Based on Recyclability Percentage (fxrzzefwmd) and Circular/Take-back Programs (jypmrzfgem).</w:t>
      </w:r>
    </w:p>
    <w:p>
      <w:pPr>
        <w:pStyle w:val="BodyText"/>
      </w:pPr>
      <w:r>
        <w:t xml:space="preserve">Assuming a total product weight of 0.5 (Al) + 0.3 (Plastic) + 1.0 (PCB) + 0.1 (Cu) + 0.2 (Cardboard) + 0.05 (Elec Comp) = 2.15 kg (illustrative total weight of wxhkmmifug).</w:t>
      </w:r>
    </w:p>
    <w:p>
      <w:pPr>
        <w:numPr>
          <w:ilvl w:val="0"/>
          <w:numId w:val="1014"/>
        </w:numPr>
        <w:pStyle w:val="Compact"/>
      </w:pPr>
      <w:r>
        <w:t xml:space="preserve">Recyclability (fxrzzefwmd): 70% (Illustrative)</w:t>
      </w:r>
    </w:p>
    <w:p>
      <w:pPr>
        <w:numPr>
          <w:ilvl w:val="0"/>
          <w:numId w:val="1014"/>
        </w:numPr>
        <w:pStyle w:val="Compact"/>
      </w:pPr>
      <w:r>
        <w:t xml:space="preserve">Recycled Amount: 2.15 kg * 0.70 = 1.505 kg</w:t>
      </w:r>
    </w:p>
    <w:p>
      <w:pPr>
        <w:numPr>
          <w:ilvl w:val="0"/>
          <w:numId w:val="1014"/>
        </w:numPr>
        <w:pStyle w:val="Compact"/>
      </w:pPr>
      <w:r>
        <w:t xml:space="preserve">Non-recycled Amount: 2.15 kg * 0.30 = 0.645 kg</w:t>
      </w:r>
    </w:p>
    <w:p>
      <w:pPr>
        <w:numPr>
          <w:ilvl w:val="0"/>
          <w:numId w:val="1014"/>
        </w:numPr>
        <w:pStyle w:val="Compact"/>
      </w:pPr>
      <w:r>
        <w:rPr>
          <w:bCs/>
          <w:b/>
        </w:rPr>
        <w:t xml:space="preserve">Credits from Recycling:</w:t>
      </w:r>
      <w:r>
        <w:t xml:space="preserve"> </w:t>
      </w:r>
      <w:r>
        <w:t xml:space="preserve">If 0.5 kg of Aluminum is recycled and displaces virgin aluminum (illustrative credit -4.0 kg CO2e/kg): -0.5 kg * 4.0 kg CO2e/kg = -2.0 kg CO2e (Example credit for key material). Actual calculation would be material-specific for all recycled components.</w:t>
      </w:r>
    </w:p>
    <w:p>
      <w:pPr>
        <w:numPr>
          <w:ilvl w:val="0"/>
          <w:numId w:val="1014"/>
        </w:numPr>
        <w:pStyle w:val="Compact"/>
      </w:pPr>
      <w:r>
        <w:rPr>
          <w:bCs/>
          <w:b/>
        </w:rPr>
        <w:t xml:space="preserve">Disposal Emissions (for non-recycled components):</w:t>
      </w:r>
      <w:r>
        <w:t xml:space="preserve"> </w:t>
      </w:r>
      <w:r>
        <w:t xml:space="preserve">Assuming the remaining 0.645 kg goes to incineration (e.g., plastic part) and landfill (e.g., mixed waste):</w:t>
      </w:r>
    </w:p>
    <w:p>
      <w:pPr>
        <w:numPr>
          <w:ilvl w:val="0"/>
          <w:numId w:val="1014"/>
        </w:numPr>
        <w:pStyle w:val="Compact"/>
      </w:pPr>
    </w:p>
    <w:p>
      <w:pPr>
        <w:numPr>
          <w:ilvl w:val="1"/>
          <w:numId w:val="1015"/>
        </w:numPr>
        <w:pStyle w:val="Compact"/>
      </w:pPr>
      <w:r>
        <w:t xml:space="preserve">Plastic Incineration (0.3 kg assumed plastic): 0.3 kg * 3.0 kg CO2e/kg = 0.9 kg CO2e</w:t>
      </w:r>
    </w:p>
    <w:p>
      <w:pPr>
        <w:numPr>
          <w:ilvl w:val="1"/>
          <w:numId w:val="1015"/>
        </w:numPr>
        <w:pStyle w:val="Compact"/>
      </w:pPr>
      <w:r>
        <w:t xml:space="preserve">Landfill (remaining ~0.345 kg mixed waste): 0.345 kg * 0.2 kg CO2e/kg = 0.069 kg CO2e</w:t>
      </w:r>
    </w:p>
    <w:p>
      <w:pPr>
        <w:numPr>
          <w:ilvl w:val="0"/>
          <w:numId w:val="1014"/>
        </w:numPr>
        <w:pStyle w:val="Compact"/>
      </w:pPr>
      <w:r>
        <w:t xml:space="preserve">Total EoL Emissions = (0.9 + 0.069) - 2.0 = -1.031 kg CO2e/unit (This indicates a net carbon removal due to significant recycling credit in this illustrative example).</w:t>
      </w:r>
    </w:p>
    <w:p>
      <w:pPr>
        <w:numPr>
          <w:ilvl w:val="0"/>
          <w:numId w:val="1014"/>
        </w:numPr>
        <w:pStyle w:val="Compact"/>
      </w:pPr>
      <w:r>
        <w:rPr>
          <w:iCs/>
          <w:i/>
        </w:rPr>
        <w:t xml:space="preserve">Note: Circular/Take-back Programs (jypmrzfgem) would ideally enhance recycling rates and recovery, further reducing net EoL emissions or generating greater credits.</w:t>
      </w:r>
    </w:p>
    <w:bookmarkEnd w:id="38"/>
    <w:bookmarkStart w:id="39" w:name="X1106d2b2006a5ea619bcd4ed2144b11c4821b2e"/>
    <w:p>
      <w:pPr>
        <w:pStyle w:val="Heading4"/>
      </w:pPr>
      <w:r>
        <w:t xml:space="preserve">4.2.4 Summary of Product Carbon Footprint by Scope and Stage</w:t>
      </w:r>
    </w:p>
    <w:p>
      <w:pPr>
        <w:pStyle w:val="FirstParagraph"/>
      </w:pPr>
      <w:r>
        <w:rPr>
          <w:bCs/>
          <w:b/>
        </w:rPr>
        <w:t xml:space="preserve">Total PCF for wxhkmmifug (Illustrative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(kg/unit)</w:t>
            </w:r>
          </w:p>
        </w:tc>
      </w:tr>
      <w:tr>
        <w:tc>
          <w:tcPr/>
          <w:p>
            <w:pPr>
              <w:pStyle w:val="Compact"/>
              <w:jc w:val="left"/>
            </w:pPr>
            <w:r>
              <w:rPr>
                <w:bCs/>
                <w:b/>
              </w:rPr>
              <w:t xml:space="preserve">Materials Acquisition</w:t>
            </w:r>
          </w:p>
        </w:tc>
        <w:tc>
          <w:tcPr/>
          <w:p>
            <w:pPr>
              <w:pStyle w:val="Compact"/>
              <w:jc w:val="left"/>
            </w:pPr>
            <w:r>
              <w:t xml:space="preserve">Scope 3 (Cat 1)</w:t>
            </w:r>
          </w:p>
        </w:tc>
        <w:tc>
          <w:tcPr/>
          <w:p>
            <w:pPr>
              <w:pStyle w:val="Compact"/>
              <w:jc w:val="left"/>
            </w:pPr>
            <w:r>
              <w:t xml:space="preserve">8.06</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2.10</w:t>
            </w:r>
          </w:p>
        </w:tc>
      </w:tr>
      <w:tr>
        <w:tc>
          <w:tcPr/>
          <w:p>
            <w:pPr>
              <w:pStyle w:val="Compact"/>
              <w:jc w:val="left"/>
            </w:pPr>
            <w:r>
              <w:rPr>
                <w:bCs/>
                <w:b/>
              </w:rPr>
              <w:t xml:space="preserve">Upstream Transport</w:t>
            </w:r>
          </w:p>
        </w:tc>
        <w:tc>
          <w:tcPr/>
          <w:p>
            <w:pPr>
              <w:pStyle w:val="Compact"/>
              <w:jc w:val="left"/>
            </w:pPr>
            <w:r>
              <w:t xml:space="preserve">Scope 3 (Cat 4)</w:t>
            </w:r>
          </w:p>
        </w:tc>
        <w:tc>
          <w:tcPr/>
          <w:p>
            <w:pPr>
              <w:pStyle w:val="Compact"/>
              <w:jc w:val="left"/>
            </w:pPr>
            <w:r>
              <w:t xml:space="preserve">0.09</w:t>
            </w:r>
          </w:p>
        </w:tc>
      </w:tr>
      <w:tr>
        <w:tc>
          <w:tcPr/>
          <w:p>
            <w:pPr>
              <w:pStyle w:val="Compact"/>
              <w:jc w:val="left"/>
            </w:pPr>
            <w:r>
              <w:rPr>
                <w:bCs/>
                <w:b/>
              </w:rPr>
              <w:t xml:space="preserve">Use Phase</w:t>
            </w:r>
          </w:p>
        </w:tc>
        <w:tc>
          <w:tcPr/>
          <w:p>
            <w:pPr>
              <w:pStyle w:val="Compact"/>
              <w:jc w:val="left"/>
            </w:pPr>
            <w:r>
              <w:t xml:space="preserve">Scope 3 (Cat 11)</w:t>
            </w:r>
          </w:p>
        </w:tc>
        <w:tc>
          <w:tcPr/>
          <w:p>
            <w:pPr>
              <w:pStyle w:val="Compact"/>
              <w:jc w:val="left"/>
            </w:pPr>
            <w:r>
              <w:t xml:space="preserve">30.00</w:t>
            </w:r>
          </w:p>
        </w:tc>
      </w:tr>
      <w:tr>
        <w:tc>
          <w:tcPr/>
          <w:p>
            <w:pPr>
              <w:pStyle w:val="Compact"/>
              <w:jc w:val="left"/>
            </w:pPr>
            <w:r>
              <w:rPr>
                <w:bCs/>
                <w:b/>
              </w:rPr>
              <w:t xml:space="preserve">End-of-Life</w:t>
            </w:r>
          </w:p>
        </w:tc>
        <w:tc>
          <w:tcPr/>
          <w:p>
            <w:pPr>
              <w:pStyle w:val="Compact"/>
              <w:jc w:val="left"/>
            </w:pPr>
            <w:r>
              <w:t xml:space="preserve">Scope 3 (Cat 12)</w:t>
            </w:r>
          </w:p>
        </w:tc>
        <w:tc>
          <w:tcPr/>
          <w:p>
            <w:pPr>
              <w:pStyle w:val="Compact"/>
              <w:jc w:val="left"/>
            </w:pPr>
            <w:r>
              <w:t xml:space="preserve">-1.03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39.22</w:t>
            </w:r>
          </w:p>
        </w:tc>
      </w:tr>
    </w:tbl>
    <w:p>
      <w:pPr>
        <w:pStyle w:val="BodyText"/>
      </w:pPr>
      <w:r>
        <w:rPr>
          <w:iCs/>
          <w:i/>
        </w:rPr>
        <w:t xml:space="preserve">*Note: Figures are illustrative based on placeholder data and assumed emission factors for demonstration purposes.</w:t>
      </w:r>
    </w:p>
    <w:p>
      <w:r>
        <w:pict>
          <v:rect style="width:0;height:1.5pt" o:hralign="center" o:hrstd="t" o:hr="t"/>
        </w:pict>
      </w:r>
    </w:p>
    <w:bookmarkEnd w:id="39"/>
    <w:bookmarkEnd w:id="40"/>
    <w:bookmarkEnd w:id="41"/>
    <w:bookmarkStart w:id="44"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Based on this illustrative analysis, the primary emission hotspot for wxhkmmifug is identified in the</w:t>
      </w:r>
      <w:r>
        <w:t xml:space="preserve"> </w:t>
      </w:r>
      <w:r>
        <w:rPr>
          <w:bCs/>
          <w:b/>
        </w:rPr>
        <w:t xml:space="preserve">Use Phase</w:t>
      </w:r>
      <w:r>
        <w:t xml:space="preserve">, contributing approximately 76% of the total PCF. This is largely driven by the product\'s energy consumption over its lifespan and the assumed grid electricity mix. The</w:t>
      </w:r>
      <w:r>
        <w:t xml:space="preserve"> </w:t>
      </w:r>
      <w:r>
        <w:rPr>
          <w:bCs/>
          <w:b/>
        </w:rPr>
        <w:t xml:space="preserve">Materials Acquisition</w:t>
      </w:r>
      <w:r>
        <w:t xml:space="preserve"> </w:t>
      </w:r>
      <w:r>
        <w:t xml:space="preserve">phase is the second most significant contributor, underscoring the importance of material selection and supply chain efficiency.</w:t>
      </w:r>
    </w:p>
    <w:p>
      <w:pPr>
        <w:pStyle w:val="BodyText"/>
      </w:pPr>
      <w:r>
        <w:t xml:space="preserve">The reliability of this analysis hinges heavily on the accuracy and completeness of the input data. For the purpose of this report, placeholders were used for several key parameters. For an actual assessment, high-quality primary data from tdetlfmwwf and its suppliers, combined with robust secondary data from recognized lifecycle inventory databases, would be crucial. Regular data collection and verification protocols would enhance the reliability significantly.</w:t>
      </w:r>
    </w:p>
    <w:bookmarkEnd w:id="42"/>
    <w:bookmarkStart w:id="43" w:name="recommendations-for-emissions-reduction"/>
    <w:p>
      <w:pPr>
        <w:pStyle w:val="Heading3"/>
      </w:pPr>
      <w:r>
        <w:t xml:space="preserve">5.2 Recommendations for Emissions Reduction</w:t>
      </w:r>
    </w:p>
    <w:p>
      <w:pPr>
        <w:numPr>
          <w:ilvl w:val="0"/>
          <w:numId w:val="1016"/>
        </w:numPr>
        <w:pStyle w:val="Compact"/>
      </w:pPr>
      <w:r>
        <w:rPr>
          <w:bCs/>
          <w:b/>
        </w:rPr>
        <w:t xml:space="preserve">Optimize Use Phase Efficiency:</w:t>
      </w:r>
      <w:r>
        <w:t xml:space="preserve"> </w:t>
      </w:r>
      <w:r>
        <w:t xml:space="preserve">Invest in R&amp;D to drastically reduce the product\'s energy consumption during its lifespan. Explore low-power modes, smart energy management, and energy-efficient component selection.</w:t>
      </w:r>
    </w:p>
    <w:p>
      <w:pPr>
        <w:numPr>
          <w:ilvl w:val="0"/>
          <w:numId w:val="1016"/>
        </w:numPr>
        <w:pStyle w:val="Compact"/>
      </w:pPr>
      <w:r>
        <w:rPr>
          <w:bCs/>
          <w:b/>
        </w:rPr>
        <w:t xml:space="preserve">Decarbonize Energy Supply:</w:t>
      </w:r>
      <w:r>
        <w:t xml:space="preserve"> </w:t>
      </w:r>
      <w:r>
        <w:t xml:space="preserve">For the manufacturing facility in China, increase the procurement of renewable energy (beyond `pxtettxskz`) through Power Purchase Agreements (PPAs) or on-site generation.</w:t>
      </w:r>
    </w:p>
    <w:p>
      <w:pPr>
        <w:numPr>
          <w:ilvl w:val="0"/>
          <w:numId w:val="1016"/>
        </w:numPr>
        <w:pStyle w:val="Compact"/>
      </w:pPr>
      <w:r>
        <w:rPr>
          <w:bCs/>
          <w:b/>
        </w:rPr>
        <w:t xml:space="preserve">Sustainable Material Sourcing:</w:t>
      </w:r>
      <w:r>
        <w:t xml:space="preserve"> </w:t>
      </w:r>
      <w:r>
        <w:t xml:space="preserve">Investigate alternative, lower-carbon materials for the "uuqlhuep" BOM. Prioritize materials with higher recycled content and lower inherent emission factors.</w:t>
      </w:r>
    </w:p>
    <w:p>
      <w:pPr>
        <w:numPr>
          <w:ilvl w:val="0"/>
          <w:numId w:val="1016"/>
        </w:numPr>
        <w:pStyle w:val="Compact"/>
      </w:pPr>
      <w:r>
        <w:rPr>
          <w:bCs/>
          <w:b/>
        </w:rPr>
        <w:t xml:space="preserve">Supply Chain Optimization:</w:t>
      </w:r>
      <w:r>
        <w:t xml:space="preserve"> </w:t>
      </w:r>
      <w:r>
        <w:t xml:space="preserve">Work with suppliers to understand and reduce their upstream emissions. Optimize transportation routes and modes for inbound logistics, favoring lower-carbon options like rail or sea freight where feasible.</w:t>
      </w:r>
    </w:p>
    <w:p>
      <w:pPr>
        <w:numPr>
          <w:ilvl w:val="0"/>
          <w:numId w:val="1016"/>
        </w:numPr>
        <w:pStyle w:val="Compact"/>
      </w:pPr>
      <w:r>
        <w:rPr>
          <w:bCs/>
          <w:b/>
        </w:rPr>
        <w:t xml:space="preserve">Enhance Circularity:</w:t>
      </w:r>
      <w:r>
        <w:t xml:space="preserve"> </w:t>
      </w:r>
      <w:r>
        <w:t xml:space="preserve">Further develop and promote "jypmrzfgem" circular/take-back programs to maximize product longevity, repairability, and high-quality recycling rates beyond `fxrzzefwmd`. Design for disassembly and material recovery.</w:t>
      </w:r>
    </w:p>
    <w:p>
      <w:pPr>
        <w:numPr>
          <w:ilvl w:val="0"/>
          <w:numId w:val="1016"/>
        </w:numPr>
        <w:pStyle w:val="Compact"/>
      </w:pPr>
      <w:r>
        <w:rPr>
          <w:bCs/>
          <w:b/>
        </w:rPr>
        <w:t xml:space="preserve">Address LSR Implications:</w:t>
      </w:r>
      <w:r>
        <w:t xml:space="preserve"> </w:t>
      </w:r>
      <w:r>
        <w:t xml:space="preserve">If bio-based materials are used or land-use changes are involved in the supply chain, conduct a dedicated assessment following the LSR Standard to identify and mitigate any related impacts or leverage potential carbon removals.</w:t>
      </w:r>
    </w:p>
    <w:p>
      <w:pPr>
        <w:pStyle w:val="FirstParagraph"/>
      </w:pPr>
      <w:r>
        <w:t xml:space="preserve">This report serves as a foundational assessment. Continuous monitoring, detailed data collection, and regular updates are essential for effective carbon management and achieving sustainability goals for wxhkmmifug and tdetlfmwwf.</w:t>
      </w:r>
    </w:p>
    <w:p>
      <w:r>
        <w:pict>
          <v:rect style="width:0;height:1.5pt" o:hralign="center" o:hrstd="t" o:hr="t"/>
        </w:pict>
      </w:r>
    </w:p>
    <w:p>
      <w:pPr>
        <w:pStyle w:val="FirstParagraph"/>
      </w:pPr>
      <w:r>
        <w:t xml:space="preserve">Confidential - Internal Use Only</w:t>
      </w:r>
    </w:p>
    <w:p>
      <w:pPr>
        <w:pStyle w:val="BodyText"/>
      </w:pPr>
      <w:r>
        <w:t xml:space="preserve">This report was prepared by sywhmvgoqy for tdetlfmwwf.</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wxhkmmifug</dc:title>
  <dc:creator/>
  <dc:description>Detailed Product Carbon Footprint (PCF) analysis report for wxhkmmifug, conducted by Senior Sustainability Consultant sywhmvgoqy for tdetlfmwwf, adhering to GHG Protocol standards and 2026 LSR updates.</dc:description>
  <dc:language>en</dc:language>
  <cp:keywords/>
  <dcterms:created xsi:type="dcterms:W3CDTF">2026-05-30T20:14:19Z</dcterms:created>
  <dcterms:modified xsi:type="dcterms:W3CDTF">2026-05-30T20:14:19Z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