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wvuemyemip</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wvuemyemip</w:t>
      </w:r>
    </w:p>
    <w:p>
      <w:pPr>
        <w:pStyle w:val="BodyText"/>
      </w:pPr>
      <w:r>
        <w:rPr>
          <w:bCs/>
          <w:b/>
        </w:rPr>
        <w:t xml:space="preserve">Company:</w:t>
      </w:r>
      <w:r>
        <w:t xml:space="preserve"> </w:t>
      </w:r>
      <w:r>
        <w:t xml:space="preserve">kesjrzspsf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wqzligwgqk</w:t>
      </w:r>
    </w:p>
    <w:p>
      <w:pPr>
        <w:pStyle w:val="BodyText"/>
      </w:pPr>
      <w:r>
        <w:t xml:space="preserve">This report is generated based on available data and industry standards. Actual values may vary based on primary data accuracy and specific operational details.</w:t>
      </w:r>
    </w:p>
    <w:bookmarkEnd w:id="20"/>
    <w:bookmarkStart w:id="21" w:name="Xa1405c3318e28450e281ce86ad2154a092f8757"/>
    <w:p>
      <w:pPr>
        <w:pStyle w:val="Heading1"/>
      </w:pPr>
      <w:r>
        <w:t xml:space="preserve">Product Carbon Footprint Analysis for wvuemyemip</w:t>
      </w:r>
    </w:p>
    <w:p>
      <w:pPr>
        <w:pStyle w:val="FirstParagraph"/>
      </w:pPr>
      <w:r>
        <w:t xml:space="preserve">Generated Date: May 22, 2026</w:t>
      </w:r>
    </w:p>
    <w:p>
      <w:pPr>
        <w:pStyle w:val="BodyText"/>
      </w:pPr>
      <w:r>
        <w:t xml:space="preserve">Prepared by: wqzligwgqk, Senior Sustainability Consultant</w:t>
      </w:r>
    </w:p>
    <w:p>
      <w:pPr>
        <w:pStyle w:val="BodyText"/>
      </w:pPr>
      <w:r>
        <w:t xml:space="preserve">For: kesjrzspsf</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wvuemyemip, manufactured by kesjrzspsf. The analysis adheres strictly to the GHG Protocol standards, incorporating the latest 2026 updates concerning the Land Sector and Removals (LSR) Standard and enhanced Scope 3 compliance requirements. The primary objective is to quantify the greenhouse gas emissions associated with the entire lifecycle of wvuemyemip, identify emission hotspots, and provide a foundation for strategic decarbonization efforts.</w:t>
      </w:r>
    </w:p>
    <w:p>
      <w:pPr>
        <w:pStyle w:val="BodyText"/>
      </w:pPr>
      <w:r>
        <w:t xml:space="preserve">The PCF calculation encompasses a "factory_gate" system boundary, with a geographic focus on production in China and a supply chain primarily centered in Europe. While specific numerical inputs for Bill of Materials (BOM), transport, energy, and end-of-life scenarios were provided as placeholders, this report outlines the precise methodology and data integration required for a comprehensive and accurate assessment, aligning with the stringent 2026 GHG Protocol requirements, including a target of at least 95% coverage for Scope 3 emissions.</w:t>
      </w:r>
    </w:p>
    <w:p>
      <w:r>
        <w:pict>
          <v:rect style="width:0;height:1.5pt" o:hralign="center" o:hrstd="t" o:hr="t"/>
        </w:pict>
      </w:r>
    </w:p>
    <w:bookmarkEnd w:id="22"/>
    <w:bookmarkStart w:id="24" w:name="methodology-ghg-protocol-approach"/>
    <w:p>
      <w:pPr>
        <w:pStyle w:val="Heading2"/>
      </w:pPr>
      <w:r>
        <w:t xml:space="preserve">1. Methodology: GHG Protocol Approach</w:t>
      </w:r>
    </w:p>
    <w:p>
      <w:pPr>
        <w:pStyle w:val="FirstParagraph"/>
      </w:pPr>
      <w:r>
        <w:t xml:space="preserve">As wqzligwgqk, Senior Sustainability Consultant, this Product Carbon Footprint (PCF) analysis for wvuemyemip by kesjrzspsf is conducted in accordance with the Greenhouse Gas (GHG) Protocol Product Standard. The methodology follows a five-step process: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stages and associated processes.</w:t>
      </w:r>
    </w:p>
    <w:p>
      <w:pPr>
        <w:numPr>
          <w:ilvl w:val="0"/>
          <w:numId w:val="1001"/>
        </w:numPr>
        <w:pStyle w:val="Compact"/>
      </w:pPr>
      <w:r>
        <w:rPr>
          <w:bCs/>
          <w:b/>
        </w:rPr>
        <w:t xml:space="preserve">Collect Data:</w:t>
      </w:r>
      <w:r>
        <w:t xml:space="preserve"> </w:t>
      </w:r>
      <w:r>
        <w:t xml:space="preserve">Gather primary and secondary activity data and relevant emission factors.</w:t>
      </w:r>
    </w:p>
    <w:p>
      <w:pPr>
        <w:numPr>
          <w:ilvl w:val="0"/>
          <w:numId w:val="1001"/>
        </w:numPr>
        <w:pStyle w:val="Compact"/>
      </w:pPr>
      <w:r>
        <w:rPr>
          <w:bCs/>
          <w:b/>
        </w:rPr>
        <w:t xml:space="preserve">Calculate Emissions:</w:t>
      </w:r>
      <w:r>
        <w:t xml:space="preserve"> </w:t>
      </w:r>
      <w:r>
        <w:t xml:space="preserve">Quantify GHG emissions across all scopes using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3" w:name="adherence-to-ghg-protocol-standards"/>
    <w:p>
      <w:pPr>
        <w:pStyle w:val="Heading3"/>
      </w:pPr>
      <w:r>
        <w:t xml:space="preserve">1.1 Adherence to GHG Protocol Standards</w:t>
      </w:r>
    </w:p>
    <w:p>
      <w:pPr>
        <w:numPr>
          <w:ilvl w:val="0"/>
          <w:numId w:val="1002"/>
        </w:numPr>
        <w:pStyle w:val="Compact"/>
      </w:pPr>
      <w:r>
        <w:rPr>
          <w:bCs/>
          <w:b/>
        </w:rPr>
        <w:t xml:space="preserve">GHG Protocol Corporate Standard:</w:t>
      </w:r>
      <w:r>
        <w:t xml:space="preserve"> </w:t>
      </w:r>
      <w:r>
        <w:t xml:space="preserve">The foundational framework for classifying direct and indirect emissions.</w:t>
      </w:r>
    </w:p>
    <w:p>
      <w:pPr>
        <w:numPr>
          <w:ilvl w:val="0"/>
          <w:numId w:val="1002"/>
        </w:numPr>
        <w:pStyle w:val="Compact"/>
      </w:pPr>
      <w:r>
        <w:rPr>
          <w:bCs/>
          <w:b/>
        </w:rPr>
        <w:t xml:space="preserve">GHG Protocol Corporate Value Chain (Scope 3) Standard:</w:t>
      </w:r>
      <w:r>
        <w:t xml:space="preserve"> </w:t>
      </w:r>
      <w:r>
        <w:t xml:space="preserve">Essential for quantifying indirect emissions from the value chain, with a focus on achieving at least 95% coverage for required Scope 3 emissions as per 2026 updates.</w:t>
      </w:r>
    </w:p>
    <w:p>
      <w:pPr>
        <w:numPr>
          <w:ilvl w:val="0"/>
          <w:numId w:val="1002"/>
        </w:numPr>
        <w:pStyle w:val="Compact"/>
      </w:pPr>
      <w:r>
        <w:rPr>
          <w:bCs/>
          <w:b/>
        </w:rPr>
        <w:t xml:space="preserve">GHG Protocol Land Sector and Removals (LSR) Standard (2026 Update):</w:t>
      </w:r>
      <w:r>
        <w:t xml:space="preserve"> </w:t>
      </w:r>
      <w:r>
        <w:t xml:space="preserve">Incorporating the latest standard, effective January 1, 2027, for accounting and reporting land-related emissions and CO₂ removals, specifically for land management and land use change. This includes emissions from biogenic products and technological CO₂ removals, building upon the Corporate and Scope 3 Standards.</w:t>
      </w:r>
    </w:p>
    <w:p>
      <w:r>
        <w:pict>
          <v:rect style="width:0;height:1.5pt" o:hralign="center" o:hrstd="t" o:hr="t"/>
        </w:pict>
      </w:r>
    </w:p>
    <w:bookmarkEnd w:id="23"/>
    <w:bookmarkEnd w:id="24"/>
    <w:bookmarkStart w:id="29" w:name="step-1-define-scope"/>
    <w:p>
      <w:pPr>
        <w:pStyle w:val="Heading2"/>
      </w:pPr>
      <w:r>
        <w:t xml:space="preserve">2. Step 1: Define Scope</w:t>
      </w:r>
    </w:p>
    <w:bookmarkStart w:id="25"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wvuemyemip</w:t>
      </w:r>
      <w:r>
        <w:t xml:space="preserve">. This provides a clear reference for quantifying and comparing environmental impacts.</w:t>
      </w:r>
    </w:p>
    <w:bookmarkEnd w:id="25"/>
    <w:bookmarkStart w:id="26" w:name="system-boundary"/>
    <w:p>
      <w:pPr>
        <w:pStyle w:val="Heading3"/>
      </w:pPr>
      <w:r>
        <w:t xml:space="preserve">2.2 System Boundary</w:t>
      </w:r>
    </w:p>
    <w:p>
      <w:pPr>
        <w:pStyle w:val="FirstParagraph"/>
      </w:pPr>
      <w:r>
        <w:t xml:space="preserve">The chosen system boundary for this analysis is</w:t>
      </w:r>
      <w:r>
        <w:t xml:space="preserve"> </w:t>
      </w:r>
      <w:r>
        <w:rPr>
          <w:bCs/>
          <w:b/>
        </w:rPr>
        <w:t xml:space="preserve">"factory_gate"</w:t>
      </w:r>
      <w:r>
        <w:t xml:space="preserve">. This implies that the assessment covers:</w:t>
      </w:r>
    </w:p>
    <w:p>
      <w:pPr>
        <w:numPr>
          <w:ilvl w:val="0"/>
          <w:numId w:val="1003"/>
        </w:numPr>
        <w:pStyle w:val="Compact"/>
      </w:pPr>
      <w:r>
        <w:t xml:space="preserve">Upstream emissions (raw material extraction, processing, transport to manufacturing).</w:t>
      </w:r>
    </w:p>
    <w:p>
      <w:pPr>
        <w:numPr>
          <w:ilvl w:val="0"/>
          <w:numId w:val="1003"/>
        </w:numPr>
        <w:pStyle w:val="Compact"/>
      </w:pPr>
      <w:r>
        <w:t xml:space="preserve">Core emissions from the manufacturing processes at kesjrzspsf\'s production facilities.</w:t>
      </w:r>
    </w:p>
    <w:p>
      <w:pPr>
        <w:numPr>
          <w:ilvl w:val="0"/>
          <w:numId w:val="1003"/>
        </w:numPr>
        <w:pStyle w:val="Compact"/>
      </w:pPr>
      <w:r>
        <w:t xml:space="preserve">Emissions associated with energy consumption during production.</w:t>
      </w:r>
    </w:p>
    <w:p>
      <w:pPr>
        <w:numPr>
          <w:ilvl w:val="0"/>
          <w:numId w:val="1003"/>
        </w:numPr>
        <w:pStyle w:val="Compact"/>
      </w:pPr>
      <w:r>
        <w:t xml:space="preserve">Emissions from waste generated during production.</w:t>
      </w:r>
    </w:p>
    <w:p>
      <w:pPr>
        <w:pStyle w:val="FirstParagraph"/>
      </w:pPr>
      <w:r>
        <w:t xml:space="preserve">While the "factory_gate" boundary focuses on production, the detailed parameters provided for transport, use-phase, and end-of-life will be used to illustrate potential downstream impacts and ensure comprehensive consideration within the report\'s scope discussion.</w:t>
      </w:r>
    </w:p>
    <w:bookmarkEnd w:id="26"/>
    <w:bookmarkStart w:id="27"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dual geographic scope necessitates the use of country-specific or regional average emission factors where primary data is unavailable, particularly for electricity grids and transport networks.</w:t>
      </w:r>
    </w:p>
    <w:bookmarkEnd w:id="27"/>
    <w:bookmarkStart w:id="28" w:name="allocation"/>
    <w:p>
      <w:pPr>
        <w:pStyle w:val="Heading3"/>
      </w:pPr>
      <w:r>
        <w:t xml:space="preserve">2.4 Allocation</w:t>
      </w:r>
    </w:p>
    <w:p>
      <w:pPr>
        <w:pStyle w:val="FirstParagraph"/>
      </w:pPr>
      <w:r>
        <w:t xml:space="preserve">For co-product and by-product emissions, allocation will follow mass-based or economic allocation principles as prescribed by the GHG Protocol, prioritizing physical causality where possible. For placeholder data, a simple direct allocation is assumed.</w:t>
      </w:r>
    </w:p>
    <w:p>
      <w:r>
        <w:pict>
          <v:rect style="width:0;height:1.5pt" o:hralign="center" o:hrstd="t" o:hr="t"/>
        </w:pict>
      </w:r>
    </w:p>
    <w:bookmarkEnd w:id="28"/>
    <w:bookmarkEnd w:id="29"/>
    <w:bookmarkStart w:id="37" w:name="step-2-3-map-lifecycle-and-collect-data"/>
    <w:p>
      <w:pPr>
        <w:pStyle w:val="Heading2"/>
      </w:pPr>
      <w:r>
        <w:t xml:space="preserve">3. Step 2 &amp; 3: Map Lifecycle and Collect Data</w:t>
      </w:r>
    </w:p>
    <w:p>
      <w:pPr>
        <w:pStyle w:val="FirstParagraph"/>
      </w:pPr>
      <w:r>
        <w:t xml:space="preserve">This section details the lifecycle stages of wvuemyemip and the types of data collected for each, including the provided parameters. Due to the placeholder nature of specific data (e.g., `xxppnlgo`, `mtmpsxyruj`), the following outlines the methodology for their integration and provides illustrative examples.</w:t>
      </w:r>
    </w:p>
    <w:bookmarkStart w:id="31" w:name="Xc19a74e080dd6159e2750ef1b2d48cf85f27a54"/>
    <w:p>
      <w:pPr>
        <w:pStyle w:val="Heading3"/>
      </w:pPr>
      <w:r>
        <w:t xml:space="preserve">3.1 Bill of Materials (BOM) Analysis - Upstream Emissions (Scope 3, Category 1: Purchased Goods and Services)</w:t>
      </w:r>
    </w:p>
    <w:p>
      <w:pPr>
        <w:pStyle w:val="FirstParagraph"/>
      </w:pPr>
      <w:r>
        <w:t xml:space="preserve">The provided Detailed Bill of Materials (BOM) is `xxppnlgo`. For a high-accuracy material impact calculation, each item in a real BOM would follow the format: ID, Description, Category, Process, Qty, Unit, Emission Factor, Total Carbon. To illustrate, a breakdown of material categories and their impact pathways is presented below. Actual calculation would involve multiplying the Quantity (Qty) by the specific Emission Factor (EF) for each material and its associated manufacturing process (Process).</w:t>
      </w:r>
    </w:p>
    <w:bookmarkStart w:id="30" w:name="Xc152cb4bbfad52e48727124d81141928046e494"/>
    <w:p>
      <w:pPr>
        <w:pStyle w:val="Heading4"/>
      </w:pPr>
      <w:r>
        <w:t xml:space="preserve">Illustrative Material Breakdown for wvuemyemip:</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[Qty from xxppnlgo] (kg)</w:t>
            </w:r>
          </w:p>
        </w:tc>
        <w:tc>
          <w:tcPr/>
          <w:p>
            <w:pPr>
              <w:pStyle w:val="Compact"/>
              <w:jc w:val="left"/>
            </w:pPr>
            <w:r>
              <w:t xml:space="preserve">Example: 5.0</w:t>
            </w:r>
          </w:p>
        </w:tc>
        <w:tc>
          <w:tcPr/>
          <w:p>
            <w:pPr>
              <w:pStyle w:val="Compact"/>
              <w:jc w:val="left"/>
            </w:pPr>
            <w:r>
              <w:t xml:space="preserve">(Qty * 5.0)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[Qty from xxppnlgo] (kg)</w:t>
            </w:r>
          </w:p>
        </w:tc>
        <w:tc>
          <w:tcPr/>
          <w:p>
            <w:pPr>
              <w:pStyle w:val="Compact"/>
              <w:jc w:val="left"/>
            </w:pPr>
            <w:r>
              <w:t xml:space="preserve">Example: 2.5</w:t>
            </w:r>
          </w:p>
        </w:tc>
        <w:tc>
          <w:tcPr/>
          <w:p>
            <w:pPr>
              <w:pStyle w:val="Compact"/>
              <w:jc w:val="left"/>
            </w:pPr>
            <w:r>
              <w:t xml:space="preserve">(Qty * 2.5)</w:t>
            </w:r>
          </w:p>
        </w:tc>
      </w:tr>
      <w:tr>
        <w:tc>
          <w:tcPr/>
          <w:p>
            <w:pPr>
              <w:pStyle w:val="Compact"/>
              <w:jc w:val="left"/>
            </w:pPr>
            <w:r>
              <w:t xml:space="preserve">M003</w:t>
            </w:r>
          </w:p>
        </w:tc>
        <w:tc>
          <w:tcPr/>
          <w:p>
            <w:pPr>
              <w:pStyle w:val="Compact"/>
              <w:jc w:val="left"/>
            </w:pPr>
            <w:r>
              <w:t xml:space="preserve">Part C</w:t>
            </w:r>
          </w:p>
        </w:tc>
        <w:tc>
          <w:tcPr/>
          <w:p>
            <w:pPr>
              <w:pStyle w:val="Compact"/>
              <w:jc w:val="left"/>
            </w:pPr>
            <w:r>
              <w:t xml:space="preserve">Electronics/Silicon</w:t>
            </w:r>
          </w:p>
        </w:tc>
        <w:tc>
          <w:tcPr/>
          <w:p>
            <w:pPr>
              <w:pStyle w:val="Compact"/>
              <w:jc w:val="left"/>
            </w:pPr>
            <w:r>
              <w:t xml:space="preserve">Semiconductor Fabrication</w:t>
            </w:r>
          </w:p>
        </w:tc>
        <w:tc>
          <w:tcPr/>
          <w:p>
            <w:pPr>
              <w:pStyle w:val="Compact"/>
              <w:jc w:val="left"/>
            </w:pPr>
            <w:r>
              <w:t xml:space="preserve">[Qty from xxppnlgo] (g)</w:t>
            </w:r>
          </w:p>
        </w:tc>
        <w:tc>
          <w:tcPr/>
          <w:p>
            <w:pPr>
              <w:pStyle w:val="Compact"/>
              <w:jc w:val="left"/>
            </w:pPr>
            <w:r>
              <w:t xml:space="preserve">Example: 0.001</w:t>
            </w:r>
          </w:p>
        </w:tc>
        <w:tc>
          <w:tcPr/>
          <w:p>
            <w:pPr>
              <w:pStyle w:val="Compact"/>
              <w:jc w:val="left"/>
            </w:pPr>
            <w:r>
              <w:t xml:space="preserve">(Qty * 0.001)</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Pulping, Converting</w:t>
            </w:r>
          </w:p>
        </w:tc>
        <w:tc>
          <w:tcPr/>
          <w:p>
            <w:pPr>
              <w:pStyle w:val="Compact"/>
              <w:jc w:val="left"/>
            </w:pPr>
            <w:r>
              <w:t xml:space="preserve">[Qty from xxppnlgo] (kg)</w:t>
            </w:r>
          </w:p>
        </w:tc>
        <w:tc>
          <w:tcPr/>
          <w:p>
            <w:pPr>
              <w:pStyle w:val="Compact"/>
              <w:jc w:val="left"/>
            </w:pPr>
            <w:r>
              <w:t xml:space="preserve">Example: 1.2</w:t>
            </w:r>
          </w:p>
        </w:tc>
        <w:tc>
          <w:tcPr/>
          <w:p>
            <w:pPr>
              <w:pStyle w:val="Compact"/>
              <w:jc w:val="left"/>
            </w:pPr>
            <w:r>
              <w:t xml:space="preserve">(Qty * 1.2)</w:t>
            </w:r>
          </w:p>
        </w:tc>
      </w:tr>
      <w:tr>
        <w:tc>
          <w:tcPr>
            <w:gridSpan w:val="5"/>
          </w:tcPr>
          <w:p>
            <w:pPr>
              <w:pStyle w:val="Compact"/>
              <w:jc w:val="right"/>
            </w:pPr>
            <w:r>
              <w:rPr>
                <w:bCs/>
                <w:b/>
              </w:rPr>
              <w:t xml:space="preserve">Total Illustrative Upstream Material Emissions:</w:t>
            </w:r>
          </w:p>
        </w:tc>
        <w:tc>
          <w:tcPr>
            <w:gridSpan w:val="2"/>
          </w:tcPr>
          <w:p>
            <w:pPr>
              <w:pStyle w:val="Compact"/>
              <w:jc w:val="left"/>
            </w:pPr>
            <w:r>
              <w:rPr>
                <w:bCs/>
                <w:b/>
              </w:rPr>
              <w:t xml:space="preserve">Sum of \'Illustrative Total Carbon\'</w:t>
            </w:r>
          </w:p>
        </w:tc>
      </w:tr>
    </w:tbl>
    <w:p>
      <w:pPr>
        <w:pStyle w:val="BodyText"/>
      </w:pPr>
      <w:r>
        <w:rPr>
          <w:iCs/>
          <w:i/>
        </w:rPr>
        <w:t xml:space="preserve">Note: The "Qty," "Emission Factor," and "Total Carbon" would be populated with actual values derived from the `xxppnlgo` BOM for a precise calculation. Emission factors would be sourced from databases like Ecoinvent or DEFRA for specific materials and processes.</w:t>
      </w:r>
    </w:p>
    <w:bookmarkEnd w:id="30"/>
    <w:bookmarkEnd w:id="31"/>
    <w:bookmarkStart w:id="33" w:name="X8c4c79f894203cc159268dd6335bdd28c5d9f62"/>
    <w:p>
      <w:pPr>
        <w:pStyle w:val="Heading3"/>
      </w:pPr>
      <w:r>
        <w:t xml:space="preserve">3.2 Transport and Distribution (Scope 3, Category 4: Upstream Transportation and Distribution)</w:t>
      </w:r>
    </w:p>
    <w:p>
      <w:pPr>
        <w:pStyle w:val="FirstParagraph"/>
      </w:pPr>
      <w:r>
        <w:t xml:space="preserve">Logistics data for material inbound to the factory and within the supply chain is crucial.</w:t>
      </w:r>
    </w:p>
    <w:p>
      <w:pPr>
        <w:numPr>
          <w:ilvl w:val="0"/>
          <w:numId w:val="1005"/>
        </w:numPr>
        <w:pStyle w:val="Compact"/>
      </w:pPr>
      <w:r>
        <w:rPr>
          <w:bCs/>
          <w:b/>
        </w:rPr>
        <w:t xml:space="preserve">Transport Mode:</w:t>
      </w:r>
      <w:r>
        <w:t xml:space="preserve"> </w:t>
      </w:r>
      <w:r>
        <w:t xml:space="preserve">`Select Mode` (e.g., Road, Rail, Sea, Air)</w:t>
      </w:r>
    </w:p>
    <w:p>
      <w:pPr>
        <w:numPr>
          <w:ilvl w:val="0"/>
          <w:numId w:val="1005"/>
        </w:numPr>
        <w:pStyle w:val="Compact"/>
      </w:pPr>
      <w:r>
        <w:rPr>
          <w:bCs/>
          <w:b/>
        </w:rPr>
        <w:t xml:space="preserve">Transport Distance:</w:t>
      </w:r>
      <w:r>
        <w:t xml:space="preserve"> </w:t>
      </w:r>
      <w:r>
        <w:t xml:space="preserve">`mtmpsxyruj` (e.g., in km)</w:t>
      </w:r>
    </w:p>
    <w:p>
      <w:pPr>
        <w:numPr>
          <w:ilvl w:val="0"/>
          <w:numId w:val="1005"/>
        </w:numPr>
        <w:pStyle w:val="Compact"/>
      </w:pPr>
      <w:r>
        <w:rPr>
          <w:bCs/>
          <w:b/>
        </w:rPr>
        <w:t xml:space="preserve">Last-Mile Delivery Channel:</w:t>
      </w:r>
      <w:r>
        <w:t xml:space="preserve"> </w:t>
      </w:r>
      <w:r>
        <w:t xml:space="preserve">`Delivery Type` (e.g., Express Courier, LTL, FTL)</w:t>
      </w:r>
    </w:p>
    <w:p>
      <w:pPr>
        <w:pStyle w:val="FirstParagraph"/>
      </w:pPr>
      <w:r>
        <w:t xml:space="preserve">Emissions are calculated by multiplying the quantity of goods by the distance and the emission factor per tonne-km for the specified transport mode. Specific emission factors from databases like DEFRA are used for various transport modes.</w:t>
      </w:r>
    </w:p>
    <w:bookmarkStart w:id="32" w:name="illustrative-transport-data"/>
    <w:p>
      <w:pPr>
        <w:pStyle w:val="Heading4"/>
      </w:pPr>
      <w:r>
        <w:t xml:space="preserve">Illustrative Transport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w:t>
            </w:r>
          </w:p>
        </w:tc>
        <w:tc>
          <w:tcPr/>
          <w:p>
            <w:pPr>
              <w:pStyle w:val="Compact"/>
              <w:jc w:val="left"/>
            </w:pPr>
            <w:r>
              <w:t xml:space="preserve">Illustrative Emission Factor (kgCO2e/tonne-km)</w:t>
            </w:r>
          </w:p>
        </w:tc>
        <w:tc>
          <w:tcPr/>
          <w:p>
            <w:pPr>
              <w:pStyle w:val="Compact"/>
              <w:jc w:val="left"/>
            </w:pPr>
            <w:r>
              <w:t xml:space="preserve">Illustrative Total Carbon (kgCO2e)</w:t>
            </w:r>
          </w:p>
        </w:tc>
      </w:tr>
      <w:tr>
        <w:tc>
          <w:tcPr/>
          <w:p>
            <w:pPr>
              <w:pStyle w:val="Compact"/>
              <w:jc w:val="left"/>
            </w:pPr>
            <w:r>
              <w:t xml:space="preserve">Raw Materials (Europe to China)</w:t>
            </w:r>
          </w:p>
        </w:tc>
        <w:tc>
          <w:tcPr/>
          <w:p>
            <w:pPr>
              <w:pStyle w:val="Compact"/>
              <w:jc w:val="left"/>
            </w:pPr>
            <w:r>
              <w:t xml:space="preserve">`Select Mode`</w:t>
            </w:r>
          </w:p>
        </w:tc>
        <w:tc>
          <w:tcPr/>
          <w:p>
            <w:pPr>
              <w:pStyle w:val="Compact"/>
              <w:jc w:val="left"/>
            </w:pPr>
            <w:r>
              <w:t xml:space="preserve">`mtmpsxyruj`</w:t>
            </w:r>
          </w:p>
        </w:tc>
        <w:tc>
          <w:tcPr/>
          <w:p>
            <w:pPr>
              <w:pStyle w:val="Compact"/>
              <w:jc w:val="left"/>
            </w:pPr>
            <w:r>
              <w:t xml:space="preserve">X tonnes</w:t>
            </w:r>
          </w:p>
        </w:tc>
        <w:tc>
          <w:tcPr/>
          <w:p>
            <w:pPr>
              <w:pStyle w:val="Compact"/>
              <w:jc w:val="left"/>
            </w:pPr>
            <w:r>
              <w:t xml:space="preserve">Example: 0.05 (for sea freight)</w:t>
            </w:r>
          </w:p>
        </w:tc>
        <w:tc>
          <w:tcPr/>
          <w:p>
            <w:pPr>
              <w:pStyle w:val="Compact"/>
              <w:jc w:val="left"/>
            </w:pPr>
            <w:r>
              <w:t xml:space="preserve">(X * mtmpsxyruj * 0.05)</w:t>
            </w:r>
          </w:p>
        </w:tc>
      </w:tr>
      <w:tr>
        <w:tc>
          <w:tcPr/>
          <w:p>
            <w:pPr>
              <w:pStyle w:val="Compact"/>
              <w:jc w:val="left"/>
            </w:pPr>
            <w:r>
              <w:t xml:space="preserve">Finished Product (China to Distribution)</w:t>
            </w:r>
          </w:p>
        </w:tc>
        <w:tc>
          <w:tcPr/>
          <w:p>
            <w:pPr>
              <w:pStyle w:val="Compact"/>
              <w:jc w:val="left"/>
            </w:pPr>
            <w:r>
              <w:t xml:space="preserve">`Select Mode`</w:t>
            </w:r>
          </w:p>
        </w:tc>
        <w:tc>
          <w:tcPr/>
          <w:p>
            <w:pPr>
              <w:pStyle w:val="Compact"/>
              <w:jc w:val="left"/>
            </w:pPr>
            <w:r>
              <w:t xml:space="preserve">Y km</w:t>
            </w:r>
          </w:p>
        </w:tc>
        <w:tc>
          <w:tcPr/>
          <w:p>
            <w:pPr>
              <w:pStyle w:val="Compact"/>
              <w:jc w:val="left"/>
            </w:pPr>
            <w:r>
              <w:t xml:space="preserve">1.0 unit equivalent</w:t>
            </w:r>
          </w:p>
        </w:tc>
        <w:tc>
          <w:tcPr/>
          <w:p>
            <w:pPr>
              <w:pStyle w:val="Compact"/>
              <w:jc w:val="left"/>
            </w:pPr>
            <w:r>
              <w:t xml:space="preserve">Example: 0.1 (for road freight)</w:t>
            </w:r>
          </w:p>
        </w:tc>
        <w:tc>
          <w:tcPr/>
          <w:p>
            <w:pPr>
              <w:pStyle w:val="Compact"/>
              <w:jc w:val="left"/>
            </w:pPr>
            <w:r>
              <w:t xml:space="preserve">(1.0 * Y * 0.1)</w:t>
            </w:r>
          </w:p>
        </w:tc>
      </w:tr>
      <w:tr>
        <w:tc>
          <w:tcPr/>
          <w:p>
            <w:pPr>
              <w:pStyle w:val="Compact"/>
              <w:jc w:val="left"/>
            </w:pPr>
            <w:r>
              <w:t xml:space="preserve">Last-Mile Delivery</w:t>
            </w:r>
          </w:p>
        </w:tc>
        <w:tc>
          <w:tcPr/>
          <w:p>
            <w:pPr>
              <w:pStyle w:val="Compact"/>
              <w:jc w:val="left"/>
            </w:pPr>
            <w:r>
              <w:t xml:space="preserve">`Delivery Type`</w:t>
            </w:r>
          </w:p>
        </w:tc>
        <w:tc>
          <w:tcPr/>
          <w:p>
            <w:pPr>
              <w:pStyle w:val="Compact"/>
              <w:jc w:val="left"/>
            </w:pPr>
            <w:r>
              <w:t xml:space="preserve">Z km</w:t>
            </w:r>
          </w:p>
        </w:tc>
        <w:tc>
          <w:tcPr/>
          <w:p>
            <w:pPr>
              <w:pStyle w:val="Compact"/>
              <w:jc w:val="left"/>
            </w:pPr>
            <w:r>
              <w:t xml:space="preserve">1.0 unit equivalent</w:t>
            </w:r>
          </w:p>
        </w:tc>
        <w:tc>
          <w:tcPr/>
          <w:p>
            <w:pPr>
              <w:pStyle w:val="Compact"/>
              <w:jc w:val="left"/>
            </w:pPr>
            <w:r>
              <w:t xml:space="preserve">Example: 0.2 (for light commercial vehicle)</w:t>
            </w:r>
          </w:p>
        </w:tc>
        <w:tc>
          <w:tcPr/>
          <w:p>
            <w:pPr>
              <w:pStyle w:val="Compact"/>
              <w:jc w:val="left"/>
            </w:pPr>
            <w:r>
              <w:t xml:space="preserve">(1.0 * Z * 0.2)</w:t>
            </w:r>
          </w:p>
        </w:tc>
      </w:tr>
    </w:tbl>
    <w:p>
      <w:pPr>
        <w:pStyle w:val="BodyText"/>
      </w:pPr>
      <w:r>
        <w:rPr>
          <w:iCs/>
          <w:i/>
        </w:rPr>
        <w:t xml:space="preserve">Note: Actual values for `mtmpsxyruj`, `Select Mode`, and `Delivery Type`, along with specific mass values, would be used for precise calculations.</w:t>
      </w:r>
    </w:p>
    <w:bookmarkEnd w:id="32"/>
    <w:bookmarkEnd w:id="33"/>
    <w:bookmarkStart w:id="35" w:name="X7dce0d4a65c3d9150fd46162ae0723f1b23d362"/>
    <w:p>
      <w:pPr>
        <w:pStyle w:val="Heading3"/>
      </w:pPr>
      <w:r>
        <w:t xml:space="preserve">3.3 Production Phase (Scope 1: Direct Emissions, Scope 2: Purchased Energy)</w:t>
      </w:r>
    </w:p>
    <w:p>
      <w:pPr>
        <w:pStyle w:val="FirstParagraph"/>
      </w:pPr>
      <w:r>
        <w:t xml:space="preserve">Emissions from the manufacturing facility in China:</w:t>
      </w:r>
    </w:p>
    <w:p>
      <w:pPr>
        <w:numPr>
          <w:ilvl w:val="0"/>
          <w:numId w:val="1006"/>
        </w:numPr>
        <w:pStyle w:val="Compact"/>
      </w:pPr>
      <w:r>
        <w:rPr>
          <w:bCs/>
          <w:b/>
        </w:rPr>
        <w:t xml:space="preserve">Energy Intensity (kWh/unit):</w:t>
      </w:r>
      <w:r>
        <w:t xml:space="preserve"> </w:t>
      </w:r>
      <w:r>
        <w:t xml:space="preserve">`hwtyuzvwht`</w:t>
      </w:r>
    </w:p>
    <w:p>
      <w:pPr>
        <w:numPr>
          <w:ilvl w:val="0"/>
          <w:numId w:val="1006"/>
        </w:numPr>
        <w:pStyle w:val="Compact"/>
      </w:pPr>
      <w:r>
        <w:rPr>
          <w:bCs/>
          <w:b/>
        </w:rPr>
        <w:t xml:space="preserve">Renewable Energy Usage:</w:t>
      </w:r>
      <w:r>
        <w:t xml:space="preserve"> </w:t>
      </w:r>
      <w:r>
        <w:t xml:space="preserve">`suvtwofngt` (%)</w:t>
      </w:r>
    </w:p>
    <w:p>
      <w:pPr>
        <w:pStyle w:val="FirstParagraph"/>
      </w:pPr>
      <w:r>
        <w:t xml:space="preserve">Scope 1 includes direct emissions from owned or controlled sources (e.g., on-site fuel combustion). Scope 2 covers indirect emissions from the generation of purchased electricity, heat, or steam. The energy intensity and renewable energy usage directly influence these emissions.</w:t>
      </w:r>
    </w:p>
    <w:bookmarkStart w:id="34" w:name="illustrative-production-energy-data"/>
    <w:p>
      <w:pPr>
        <w:pStyle w:val="Heading4"/>
      </w:pPr>
      <w:r>
        <w:t xml:space="preserve">Illustrative Production Energy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Quantity per Unit (kWh/unit)</w:t>
            </w:r>
          </w:p>
        </w:tc>
        <w:tc>
          <w:tcPr/>
          <w:p>
            <w:pPr>
              <w:pStyle w:val="Compact"/>
              <w:jc w:val="left"/>
            </w:pPr>
            <w:r>
              <w:t xml:space="preserve">Renewable Usage (%)</w:t>
            </w:r>
          </w:p>
        </w:tc>
        <w:tc>
          <w:tcPr/>
          <w:p>
            <w:pPr>
              <w:pStyle w:val="Compact"/>
              <w:jc w:val="left"/>
            </w:pPr>
            <w:r>
              <w:t xml:space="preserve">Grid Emission Factor (kgCO2e/kWh)</w:t>
            </w:r>
          </w:p>
        </w:tc>
        <w:tc>
          <w:tcPr/>
          <w:p>
            <w:pPr>
              <w:pStyle w:val="Compact"/>
              <w:jc w:val="left"/>
            </w:pPr>
            <w:r>
              <w:t xml:space="preserve">Illustrative Total Carbon (kgCO2e/unit)</w:t>
            </w:r>
          </w:p>
        </w:tc>
        <w:tc>
          <w:tcPr/>
          <w:p>
            <w:pPr>
              <w:pStyle w:val="Compact"/>
              <w:jc w:val="left"/>
            </w:pPr>
            <w:r>
              <w:t xml:space="preserve">GHG Scope</w:t>
            </w:r>
          </w:p>
        </w:tc>
      </w:tr>
      <w:tr>
        <w:tc>
          <w:tcPr/>
          <w:p>
            <w:pPr>
              <w:pStyle w:val="Compact"/>
              <w:jc w:val="left"/>
            </w:pPr>
            <w:r>
              <w:t xml:space="preserve">Purchased Electricity</w:t>
            </w:r>
          </w:p>
        </w:tc>
        <w:tc>
          <w:tcPr/>
          <w:p>
            <w:pPr>
              <w:pStyle w:val="Compact"/>
              <w:jc w:val="left"/>
            </w:pPr>
            <w:r>
              <w:t xml:space="preserve">`hwtyuzvwht`</w:t>
            </w:r>
          </w:p>
        </w:tc>
        <w:tc>
          <w:tcPr/>
          <w:p>
            <w:pPr>
              <w:pStyle w:val="Compact"/>
              <w:jc w:val="left"/>
            </w:pPr>
            <w:r>
              <w:t xml:space="preserve">`suvtwofngt`</w:t>
            </w:r>
          </w:p>
        </w:tc>
        <w:tc>
          <w:tcPr/>
          <w:p>
            <w:pPr>
              <w:pStyle w:val="Compact"/>
              <w:jc w:val="left"/>
            </w:pPr>
            <w:r>
              <w:t xml:space="preserve">Example: 0.5 (China grid average)</w:t>
            </w:r>
          </w:p>
        </w:tc>
        <w:tc>
          <w:tcPr/>
          <w:p>
            <w:pPr>
              <w:pStyle w:val="Compact"/>
              <w:jc w:val="left"/>
            </w:pPr>
            <w:r>
              <w:t xml:space="preserve">(`hwtyuzvwht` * (1 - `suvtwofngt`/100) * 0.5)</w:t>
            </w:r>
          </w:p>
        </w:tc>
        <w:tc>
          <w:tcPr/>
          <w:p>
            <w:pPr>
              <w:pStyle w:val="Compact"/>
              <w:jc w:val="left"/>
            </w:pPr>
            <w:r>
              <w:t xml:space="preserve">Scope 2</w:t>
            </w:r>
          </w:p>
        </w:tc>
      </w:tr>
      <w:tr>
        <w:tc>
          <w:tcPr/>
          <w:p>
            <w:pPr>
              <w:pStyle w:val="Compact"/>
              <w:jc w:val="left"/>
            </w:pPr>
            <w:r>
              <w:t xml:space="preserve">On-site Fuel Combustion</w:t>
            </w:r>
          </w:p>
        </w:tc>
        <w:tc>
          <w:tcPr/>
          <w:p>
            <w:pPr>
              <w:pStyle w:val="Compact"/>
              <w:jc w:val="left"/>
            </w:pPr>
            <w:r>
              <w:t xml:space="preserve">(e.g., X Liters of Diesel)</w:t>
            </w:r>
          </w:p>
        </w:tc>
        <w:tc>
          <w:tcPr/>
          <w:p>
            <w:pPr>
              <w:pStyle w:val="Compact"/>
              <w:jc w:val="left"/>
            </w:pPr>
            <w:r>
              <w:t xml:space="preserve">N/A</w:t>
            </w:r>
          </w:p>
        </w:tc>
        <w:tc>
          <w:tcPr/>
          <w:p>
            <w:pPr>
              <w:pStyle w:val="Compact"/>
              <w:jc w:val="left"/>
            </w:pPr>
            <w:r>
              <w:t xml:space="preserve">Example: 2.68 (kgCO2e/Liter)</w:t>
            </w:r>
          </w:p>
        </w:tc>
        <w:tc>
          <w:tcPr/>
          <w:p>
            <w:pPr>
              <w:pStyle w:val="Compact"/>
              <w:jc w:val="left"/>
            </w:pPr>
            <w:r>
              <w:t xml:space="preserve">(X * 2.68)</w:t>
            </w:r>
          </w:p>
        </w:tc>
        <w:tc>
          <w:tcPr/>
          <w:p>
            <w:pPr>
              <w:pStyle w:val="Compact"/>
              <w:jc w:val="left"/>
            </w:pPr>
            <w:r>
              <w:t xml:space="preserve">Scope 1</w:t>
            </w:r>
          </w:p>
        </w:tc>
      </w:tr>
    </w:tbl>
    <w:p>
      <w:pPr>
        <w:pStyle w:val="BodyText"/>
      </w:pPr>
      <w:r>
        <w:rPr>
          <w:iCs/>
          <w:i/>
        </w:rPr>
        <w:t xml:space="preserve">Note: Direct fuel consumption data would be needed for Scope 1. The `suvtwofngt` value would reduce the effective grid emission factor for purchased electricity.</w:t>
      </w:r>
    </w:p>
    <w:bookmarkEnd w:id="34"/>
    <w:bookmarkEnd w:id="35"/>
    <w:bookmarkStart w:id="36" w:name="X904380d2ac067e6964abe8f332176e988ee9c8b"/>
    <w:p>
      <w:pPr>
        <w:pStyle w:val="Heading3"/>
      </w:pPr>
      <w:r>
        <w:t xml:space="preserve">3.4 Packaging (Scope 3, Category 1: Purchased Goods and Services)</w:t>
      </w:r>
    </w:p>
    <w:p>
      <w:pPr>
        <w:pStyle w:val="FirstParagraph"/>
      </w:pPr>
      <w:r>
        <w:t xml:space="preserve">Packaging emissions are integrated with the BOM, considering materials, weight, and associated manufacturing processes for packaging components. This includes primary, secondary, and tertiary packaging.</w:t>
      </w:r>
    </w:p>
    <w:p>
      <w:r>
        <w:pict>
          <v:rect style="width:0;height:1.5pt" o:hralign="center" o:hrstd="t" o:hr="t"/>
        </w:pict>
      </w:r>
    </w:p>
    <w:bookmarkEnd w:id="36"/>
    <w:bookmarkEnd w:id="37"/>
    <w:bookmarkStart w:id="45" w:name="step-4-calculate-emissions"/>
    <w:p>
      <w:pPr>
        <w:pStyle w:val="Heading2"/>
      </w:pPr>
      <w:r>
        <w:t xml:space="preserve">4. Step 4: Calculate Emissions</w:t>
      </w:r>
    </w:p>
    <w:p>
      <w:pPr>
        <w:pStyle w:val="FirstParagraph"/>
      </w:pPr>
      <w:r>
        <w:t xml:space="preserve">Emissions are calculated using the formula:</w:t>
      </w:r>
      <w:r>
        <w:t xml:space="preserve"> </w:t>
      </w:r>
      <w:r>
        <w:rPr>
          <w:bCs/>
          <w:b/>
        </w:rPr>
        <w:t xml:space="preserve">Activity Data × Emission Factor = CO2e (Carbon Dioxide Equivalents)</w:t>
      </w:r>
      <w:r>
        <w:t xml:space="preserve">. Industry-standard emission factors are typically sourced from robust databases like Ecoinvent or DEFRA, which provide factors for various materials, processes, energy sources, and transport modes.</w:t>
      </w:r>
    </w:p>
    <w:p>
      <w:pPr>
        <w:pStyle w:val="BodyText"/>
      </w:pPr>
      <w:r>
        <w:t xml:space="preserve">All greenhouse gases (CO2, CH4, N2O, HFCs, PFCs, SF6, NF3) are converted to CO2 equivalents (CO2e) using their respective Global Warming Potentials (GWPs) over a 100-year horizon, as per IPCC guidelines.</w:t>
      </w:r>
    </w:p>
    <w:bookmarkStart w:id="41" w:name="categorization-of-emissions-by-ghg-scope"/>
    <w:p>
      <w:pPr>
        <w:pStyle w:val="Heading3"/>
      </w:pPr>
      <w:r>
        <w:t xml:space="preserve">4.1 Categorization of Emissions by GHG Scope</w:t>
      </w:r>
    </w:p>
    <w:bookmarkStart w:id="38" w:name="X4a0967fde2e57d68680411754f837a570478ba8"/>
    <w:p>
      <w:pPr>
        <w:pStyle w:val="Heading4"/>
      </w:pPr>
      <w:r>
        <w:t xml:space="preserve">Scope 1: Direct Emissions (Operational Control)</w:t>
      </w:r>
    </w:p>
    <w:p>
      <w:pPr>
        <w:pStyle w:val="FirstParagraph"/>
      </w:pPr>
      <w:r>
        <w:t xml:space="preserve">These are direct emissions from sources owned or controlled by kesjrzspsf\'s operations. For wvuemyemip, this would primarily include:</w:t>
      </w:r>
    </w:p>
    <w:p>
      <w:pPr>
        <w:numPr>
          <w:ilvl w:val="0"/>
          <w:numId w:val="1007"/>
        </w:numPr>
        <w:pStyle w:val="Compact"/>
      </w:pPr>
      <w:r>
        <w:t xml:space="preserve">Emissions from fuel combustion in manufacturing equipment or company-owned vehicles on-site.</w:t>
      </w:r>
    </w:p>
    <w:p>
      <w:pPr>
        <w:numPr>
          <w:ilvl w:val="0"/>
          <w:numId w:val="1007"/>
        </w:numPr>
        <w:pStyle w:val="Compact"/>
      </w:pPr>
      <w:r>
        <w:t xml:space="preserve">Process emissions from chemical reactions during production (if applicable).</w:t>
      </w:r>
    </w:p>
    <w:p>
      <w:pPr>
        <w:numPr>
          <w:ilvl w:val="0"/>
          <w:numId w:val="1007"/>
        </w:numPr>
        <w:pStyle w:val="Compact"/>
      </w:pPr>
      <w:r>
        <w:t xml:space="preserve">Fugitive emissions from refrigerants (if applicable).</w:t>
      </w:r>
    </w:p>
    <w:p>
      <w:pPr>
        <w:pStyle w:val="FirstParagraph"/>
      </w:pPr>
      <w:r>
        <w:rPr>
          <w:iCs/>
          <w:i/>
        </w:rPr>
        <w:t xml:space="preserve">Example: Emissions from natural gas boilers used in the China production facility.</w:t>
      </w:r>
    </w:p>
    <w:bookmarkEnd w:id="38"/>
    <w:bookmarkStart w:id="39" w:name="Xc7742137c6c486879d4dd322965601cca425bf2"/>
    <w:p>
      <w:pPr>
        <w:pStyle w:val="Heading4"/>
      </w:pPr>
      <w:r>
        <w:t xml:space="preserve">Scope 2: Energy Indirect Emissions (Purchased Energy)</w:t>
      </w:r>
    </w:p>
    <w:p>
      <w:pPr>
        <w:pStyle w:val="FirstParagraph"/>
      </w:pPr>
      <w:r>
        <w:t xml:space="preserve">These are indirect emissions from the generation of purchased electricity, heat, or steam consumed by kesjrzspsf\'s operations. For wvuemyemip, this involves:</w:t>
      </w:r>
    </w:p>
    <w:p>
      <w:pPr>
        <w:numPr>
          <w:ilvl w:val="0"/>
          <w:numId w:val="1008"/>
        </w:numPr>
        <w:pStyle w:val="Compact"/>
      </w:pPr>
      <w:r>
        <w:t xml:space="preserve">Emissions from purchased electricity used in the China manufacturing facility, adjusted by the `suvtwofngt` renewable energy usage percentage.</w:t>
      </w:r>
    </w:p>
    <w:p>
      <w:pPr>
        <w:pStyle w:val="FirstParagraph"/>
      </w:pPr>
      <w:r>
        <w:rPr>
          <w:iCs/>
          <w:i/>
        </w:rPr>
        <w:t xml:space="preserve">Example: Grid electricity consumed for assembly lines, lighting, and HVAC at the production site.</w:t>
      </w:r>
    </w:p>
    <w:bookmarkEnd w:id="39"/>
    <w:bookmarkStart w:id="40" w:name="Xd1c2b652bc5876514f180a21f002993b8de8e83"/>
    <w:p>
      <w:pPr>
        <w:pStyle w:val="Heading4"/>
      </w:pPr>
      <w:r>
        <w:t xml:space="preserve">Scope 3: Other Indirect Emissions (Value Chain)</w:t>
      </w:r>
    </w:p>
    <w:p>
      <w:pPr>
        <w:pStyle w:val="FirstParagraph"/>
      </w:pPr>
      <w:r>
        <w:t xml:space="preserve">Scope 3 emissions are all other indirect emissions that occur in the value chain of kesjrzspsf, both upstream and downstream. The 2026 GHG Protocol revisions emphasize a minimum of 95% coverage for required Scope 3 emissions.</w:t>
      </w:r>
    </w:p>
    <w:p>
      <w:pPr>
        <w:numPr>
          <w:ilvl w:val="0"/>
          <w:numId w:val="1009"/>
        </w:numPr>
        <w:pStyle w:val="Compact"/>
      </w:pPr>
      <w:r>
        <w:rPr>
          <w:bCs/>
          <w:b/>
        </w:rPr>
        <w:t xml:space="preserve">Category 1: Purchased Goods and Services:</w:t>
      </w:r>
      <w:r>
        <w:t xml:space="preserve"> </w:t>
      </w:r>
      <w:r>
        <w:t xml:space="preserve">Emissions from the extraction, production, and transportation of raw materials and components (e.g., from `xxppnlgo` BOM) purchased by kesjrzspsf.</w:t>
      </w:r>
    </w:p>
    <w:p>
      <w:pPr>
        <w:numPr>
          <w:ilvl w:val="0"/>
          <w:numId w:val="1009"/>
        </w:numPr>
        <w:pStyle w:val="Compact"/>
      </w:pPr>
      <w:r>
        <w:rPr>
          <w:bCs/>
          <w:b/>
        </w:rPr>
        <w:t xml:space="preserve">Category 4: Upstream Transportation and Distribution:</w:t>
      </w:r>
      <w:r>
        <w:t xml:space="preserve"> </w:t>
      </w:r>
      <w:r>
        <w:t xml:space="preserve">Emissions from transportation of raw materials to the factory, and inter-facility transport, considering `Select Mode` and `mtmpsxyruj`.</w:t>
      </w:r>
    </w:p>
    <w:p>
      <w:pPr>
        <w:numPr>
          <w:ilvl w:val="0"/>
          <w:numId w:val="1009"/>
        </w:numPr>
        <w:pStyle w:val="Compact"/>
      </w:pPr>
      <w:r>
        <w:rPr>
          <w:bCs/>
          <w:b/>
        </w:rPr>
        <w:t xml:space="preserve">Category 5: Waste Generated in Operations:</w:t>
      </w:r>
      <w:r>
        <w:t xml:space="preserve"> </w:t>
      </w:r>
      <w:r>
        <w:t xml:space="preserve">Emissions from the disposal and treatment of waste generated during production.</w:t>
      </w:r>
    </w:p>
    <w:p>
      <w:pPr>
        <w:numPr>
          <w:ilvl w:val="0"/>
          <w:numId w:val="1009"/>
        </w:numPr>
        <w:pStyle w:val="Compact"/>
      </w:pPr>
      <w:r>
        <w:rPr>
          <w:bCs/>
          <w:b/>
        </w:rPr>
        <w:t xml:space="preserve">Category 9: Downstream Transportation and Distribution:</w:t>
      </w:r>
      <w:r>
        <w:t xml:space="preserve"> </w:t>
      </w:r>
      <w:r>
        <w:t xml:space="preserve">Emissions from transporting finished products from the factory to the customer, including `Delivery Type` for last-mile delivery.</w:t>
      </w:r>
    </w:p>
    <w:p>
      <w:pPr>
        <w:numPr>
          <w:ilvl w:val="0"/>
          <w:numId w:val="1009"/>
        </w:numPr>
        <w:pStyle w:val="Compact"/>
      </w:pPr>
      <w:r>
        <w:rPr>
          <w:bCs/>
          <w:b/>
        </w:rPr>
        <w:t xml:space="preserve">Category 11: Use of Sold Products:</w:t>
      </w:r>
      <w:r>
        <w:t xml:space="preserve"> </w:t>
      </w:r>
      <w:r>
        <w:t xml:space="preserve">Emissions from the energy consumption during the product\'s lifespan. The `nspwdfiuun` (lifespan) and `mtzhypsoox` (energy consumption in use) parameters will be crucial here.</w:t>
      </w:r>
    </w:p>
    <w:p>
      <w:pPr>
        <w:numPr>
          <w:ilvl w:val="0"/>
          <w:numId w:val="1009"/>
        </w:numPr>
        <w:pStyle w:val="Compact"/>
      </w:pPr>
      <w:r>
        <w:rPr>
          <w:bCs/>
          <w:b/>
        </w:rPr>
        <w:t xml:space="preserve">Category 12: End-of-Life Treatment of Sold Products:</w:t>
      </w:r>
      <w:r>
        <w:t xml:space="preserve"> </w:t>
      </w:r>
      <w:r>
        <w:t xml:space="preserve">Emissions from the disposal and recycling of wvuemyemip at the end of its life, influenced by `izwmsxvnzd` (recyclability percentage) and `pwtumoyjns` (circular/take-back programs).</w:t>
      </w:r>
    </w:p>
    <w:p>
      <w:pPr>
        <w:numPr>
          <w:ilvl w:val="0"/>
          <w:numId w:val="1009"/>
        </w:numPr>
        <w:pStyle w:val="Compact"/>
      </w:pPr>
      <w:r>
        <w:rPr>
          <w:bCs/>
          <w:b/>
        </w:rPr>
        <w:t xml:space="preserve">Land Sector and Removals (LSR) Integration:</w:t>
      </w:r>
      <w:r>
        <w:t xml:space="preserve"> </w:t>
      </w:r>
      <w:r>
        <w:t xml:space="preserve">If any materials in the `xxppnlgo` BOM are derived from agricultural or land-based activities, or if kesjrzspsf has direct land management operations in its value chain, the LSR Standard, effective January 1, 2027, will apply. This would account for land use change emissions, land management net biogenic CO₂ emissions, and emissions from biogenic products.</w:t>
      </w:r>
    </w:p>
    <w:bookmarkEnd w:id="40"/>
    <w:bookmarkEnd w:id="41"/>
    <w:bookmarkStart w:id="42" w:name="X037029e883a70b85ef856dc46beebabd8ce4e89"/>
    <w:p>
      <w:pPr>
        <w:pStyle w:val="Heading3"/>
      </w:pPr>
      <w:r>
        <w:t xml:space="preserve">4.2 Illustrative PCF Summary (CO2e per Functional Unit)</w:t>
      </w:r>
    </w:p>
    <w:p>
      <w:pPr>
        <w:pStyle w:val="FirstParagraph"/>
      </w:pPr>
      <w:r>
        <w:t xml:space="preserve">Based on the conceptual application of the provided parameters and illustrative emission factors, a summary of the Product Carbon Footprint for one unit of wvuemyemip would be structured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Illustrative Emissions (kg CO2e/unit)</w:t>
            </w:r>
          </w:p>
        </w:tc>
      </w:tr>
      <w:tr>
        <w:tc>
          <w:tcPr/>
          <w:p>
            <w:pPr>
              <w:pStyle w:val="Compact"/>
              <w:jc w:val="left"/>
            </w:pPr>
            <w:r>
              <w:rPr>
                <w:bCs/>
                <w:b/>
              </w:rPr>
              <w:t xml:space="preserve">Scope 1</w:t>
            </w:r>
          </w:p>
        </w:tc>
        <w:tc>
          <w:tcPr/>
          <w:p>
            <w:pPr>
              <w:pStyle w:val="Compact"/>
              <w:jc w:val="left"/>
            </w:pPr>
            <w:r>
              <w:t xml:space="preserve">Production (Direct Operations)</w:t>
            </w:r>
          </w:p>
        </w:tc>
        <w:tc>
          <w:tcPr/>
          <w:p>
            <w:pPr>
              <w:pStyle w:val="Compact"/>
              <w:jc w:val="left"/>
            </w:pPr>
            <w:r>
              <w:t xml:space="preserve">[Calculation from on-site fuel combustion]</w:t>
            </w:r>
          </w:p>
        </w:tc>
      </w:tr>
      <w:tr>
        <w:tc>
          <w:tcPr/>
          <w:p>
            <w:pPr>
              <w:pStyle w:val="Compact"/>
              <w:jc w:val="left"/>
            </w:pPr>
            <w:r>
              <w:rPr>
                <w:bCs/>
                <w:b/>
              </w:rPr>
              <w:t xml:space="preserve">Scope 2</w:t>
            </w:r>
          </w:p>
        </w:tc>
        <w:tc>
          <w:tcPr/>
          <w:p>
            <w:pPr>
              <w:pStyle w:val="Compact"/>
              <w:jc w:val="left"/>
            </w:pPr>
            <w:r>
              <w:t xml:space="preserve">Production (Purchased Electricity/Heat)</w:t>
            </w:r>
          </w:p>
        </w:tc>
        <w:tc>
          <w:tcPr/>
          <w:p>
            <w:pPr>
              <w:pStyle w:val="Compact"/>
              <w:jc w:val="left"/>
            </w:pPr>
            <w:r>
              <w:t xml:space="preserve">[Calculation from `hwtyuzvwht` and `suvtwofngt`]</w:t>
            </w:r>
          </w:p>
        </w:tc>
      </w:tr>
      <w:tr>
        <w:tc>
          <w:tcPr>
            <w:vMerge w:val="restart"/>
          </w:tcPr>
          <w:p>
            <w:pPr>
              <w:pStyle w:val="Compact"/>
              <w:jc w:val="left"/>
            </w:pPr>
            <w:r>
              <w:rPr>
                <w:bCs/>
                <w:b/>
              </w:rPr>
              <w:t xml:space="preserve">Scope 3</w:t>
            </w:r>
          </w:p>
        </w:tc>
        <w:tc>
          <w:tcPr/>
          <w:p>
            <w:pPr>
              <w:pStyle w:val="Compact"/>
              <w:jc w:val="left"/>
            </w:pPr>
            <w:r>
              <w:t xml:space="preserve">Purchased Goods &amp; Services (Raw Materials)</w:t>
            </w:r>
          </w:p>
        </w:tc>
        <w:tc>
          <w:tcPr/>
          <w:p>
            <w:pPr>
              <w:pStyle w:val="Compact"/>
              <w:jc w:val="left"/>
            </w:pPr>
            <w:r>
              <w:t xml:space="preserve">[Calculation from `xxppnlgo` BOM]</w:t>
            </w:r>
          </w:p>
        </w:tc>
      </w:tr>
      <w:tr>
        <w:tc>
          <w:tcPr>
            <w:gridSpan w:val="1"/>
            <w:vMerge w:val="continue"/>
          </w:tcPr>
          <w:p>
            <w:pPr/>
          </w:p>
        </w:tc>
        <w:tc>
          <w:tcPr/>
          <w:p>
            <w:pPr>
              <w:pStyle w:val="Compact"/>
              <w:jc w:val="left"/>
            </w:pPr>
            <w:r>
              <w:t xml:space="preserve">Upstream Transport &amp; Distribution</w:t>
            </w:r>
          </w:p>
        </w:tc>
        <w:tc>
          <w:tcPr/>
          <w:p>
            <w:pPr>
              <w:pStyle w:val="Compact"/>
              <w:jc w:val="left"/>
            </w:pPr>
            <w:r>
              <w:t xml:space="preserve">[Calculation from `Select Mode`, `mtmpsxyruj`]</w:t>
            </w:r>
          </w:p>
        </w:tc>
      </w:tr>
      <w:tr>
        <w:tc>
          <w:tcPr>
            <w:gridSpan w:val="1"/>
            <w:vMerge w:val="continue"/>
          </w:tcPr>
          <w:p>
            <w:pPr/>
          </w:p>
        </w:tc>
        <w:tc>
          <w:tcPr/>
          <w:p>
            <w:pPr>
              <w:pStyle w:val="Compact"/>
              <w:jc w:val="left"/>
            </w:pPr>
            <w:r>
              <w:t xml:space="preserve">Waste Generated in Operations</w:t>
            </w:r>
          </w:p>
        </w:tc>
        <w:tc>
          <w:tcPr/>
          <w:p>
            <w:pPr>
              <w:pStyle w:val="Compact"/>
              <w:jc w:val="left"/>
            </w:pPr>
            <w:r>
              <w:t xml:space="preserve">[Estimated based on production waste data]</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[Calculation from `Delivery Type` and distribution routes]</w:t>
            </w:r>
          </w:p>
        </w:tc>
      </w:tr>
      <w:tr>
        <w:tc>
          <w:tcPr>
            <w:gridSpan w:val="1"/>
            <w:vMerge w:val="continue"/>
          </w:tcPr>
          <w:p>
            <w:pPr/>
          </w:p>
        </w:tc>
        <w:tc>
          <w:tcPr/>
          <w:p>
            <w:pPr>
              <w:pStyle w:val="Compact"/>
              <w:jc w:val="left"/>
            </w:pPr>
            <w:r>
              <w:t xml:space="preserve">Use of Sold Products</w:t>
            </w:r>
          </w:p>
        </w:tc>
        <w:tc>
          <w:tcPr/>
          <w:p>
            <w:pPr>
              <w:pStyle w:val="Compact"/>
              <w:jc w:val="left"/>
            </w:pPr>
            <w:r>
              <w:t xml:space="preserve">[Calculation from `nspwdfiuun`, `mtzhypsoox`]</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[Calculation from `izwmsxvnzd`, `pwtumoyjns`]</w:t>
            </w:r>
          </w:p>
        </w:tc>
      </w:tr>
      <w:tr>
        <w:tc>
          <w:tcPr>
            <w:gridSpan w:val="1"/>
            <w:vMerge w:val="continue"/>
          </w:tcPr>
          <w:p>
            <w:pPr/>
          </w:p>
        </w:tc>
        <w:tc>
          <w:tcPr/>
          <w:p>
            <w:pPr>
              <w:pStyle w:val="Compact"/>
              <w:jc w:val="left"/>
            </w:pPr>
            <w:r>
              <w:t xml:space="preserve">Land Sector &amp; Removals (if applicable)</w:t>
            </w:r>
          </w:p>
        </w:tc>
        <w:tc>
          <w:tcPr/>
          <w:p>
            <w:pPr>
              <w:pStyle w:val="Compact"/>
              <w:jc w:val="left"/>
            </w:pPr>
            <w:r>
              <w:t xml:space="preserve">[Calculation based on land-use impact of materials/processes]</w:t>
            </w:r>
          </w:p>
        </w:tc>
      </w:tr>
      <w:tr>
        <w:tc>
          <w:tcPr>
            <w:gridSpan w:val="2"/>
          </w:tcPr>
          <w:p>
            <w:pPr>
              <w:pStyle w:val="Compact"/>
              <w:jc w:val="right"/>
            </w:pPr>
            <w:r>
              <w:rPr>
                <w:bCs/>
                <w:b/>
              </w:rPr>
              <w:t xml:space="preserve">TOTAL PRODUCT CARBON FOOTPRINT (per 1.0 unit of wvuemyemip):</w:t>
            </w:r>
          </w:p>
        </w:tc>
        <w:tc>
          <w:tcPr/>
          <w:p>
            <w:pPr>
              <w:pStyle w:val="Compact"/>
              <w:jc w:val="left"/>
            </w:pPr>
            <w:r>
              <w:rPr>
                <w:bCs/>
                <w:b/>
              </w:rPr>
              <w:t xml:space="preserve">[Sum of all illustrative emissions]</w:t>
            </w:r>
          </w:p>
        </w:tc>
      </w:tr>
    </w:tbl>
    <w:bookmarkEnd w:id="42"/>
    <w:bookmarkStart w:id="43" w:name="application-of-2026-lsr-standard"/>
    <w:p>
      <w:pPr>
        <w:pStyle w:val="Heading3"/>
      </w:pPr>
      <w:r>
        <w:t xml:space="preserve">4.3 Application of 2026 LSR Standard</w:t>
      </w:r>
    </w:p>
    <w:p>
      <w:pPr>
        <w:pStyle w:val="FirstParagraph"/>
      </w:pPr>
      <w:r>
        <w:t xml:space="preserve">The Land Sector and Removals (LSR) Standard, taking effect January 1, 2027, significantly impacts companies with land-sector activities. For kesjrzspsf and its product wvuemyemip, if the supply chain includes agricultural products or materials (e.g., bio-based plastics, natural fibers) or involves land-intensive processes, this standard requires specific accounting for:</w:t>
      </w:r>
    </w:p>
    <w:p>
      <w:pPr>
        <w:numPr>
          <w:ilvl w:val="0"/>
          <w:numId w:val="1010"/>
        </w:numPr>
        <w:pStyle w:val="Compact"/>
      </w:pPr>
      <w:r>
        <w:t xml:space="preserve">Land use change emissions (e.g., from deforestation for raw material cultivation).</w:t>
      </w:r>
    </w:p>
    <w:p>
      <w:pPr>
        <w:numPr>
          <w:ilvl w:val="0"/>
          <w:numId w:val="1010"/>
        </w:numPr>
        <w:pStyle w:val="Compact"/>
      </w:pPr>
      <w:r>
        <w:t xml:space="preserve">Land management net biogenic CO₂ emissions (e.g., from soil degradation).</w:t>
      </w:r>
    </w:p>
    <w:p>
      <w:pPr>
        <w:numPr>
          <w:ilvl w:val="0"/>
          <w:numId w:val="1010"/>
        </w:numPr>
        <w:pStyle w:val="Compact"/>
      </w:pPr>
      <w:r>
        <w:t xml:space="preserve">Emissions from biogenic products.</w:t>
      </w:r>
    </w:p>
    <w:p>
      <w:pPr>
        <w:numPr>
          <w:ilvl w:val="0"/>
          <w:numId w:val="1010"/>
        </w:numPr>
        <w:pStyle w:val="Compact"/>
      </w:pPr>
      <w:r>
        <w:t xml:space="preserve">CO₂ removals with storage in land or geologic pools (if applicable in the value chain).</w:t>
      </w:r>
    </w:p>
    <w:p>
      <w:pPr>
        <w:pStyle w:val="FirstParagraph"/>
      </w:pPr>
      <w:r>
        <w:t xml:space="preserve">Implementing the LSR Standard ensures a more comprehensive and accurate representation of the PCF, particularly for products with a significant biological or land-derived component. The upcoming LSR Guidance (Q2 2026) will provide further practical direction for implementation.</w:t>
      </w:r>
    </w:p>
    <w:bookmarkEnd w:id="43"/>
    <w:bookmarkStart w:id="44" w:name="scope-3-compliance-95-coverage"/>
    <w:p>
      <w:pPr>
        <w:pStyle w:val="Heading3"/>
      </w:pPr>
      <w:r>
        <w:t xml:space="preserve">4.4 Scope 3 Compliance (&gt;95% Coverage)</w:t>
      </w:r>
    </w:p>
    <w:p>
      <w:pPr>
        <w:pStyle w:val="FirstParagraph"/>
      </w:pPr>
      <w:r>
        <w:t xml:space="preserve">The 2026 GHG Protocol revisions introduce a mandatory 95% coverage floor for required Scope 3 emissions (Categories 1-15) to claim conformance. This means kesjrzspsf must quantify at least 95% of its relevant Scope 3 emissions, with any exclusions (up to 5%) clearly quantified, disclosed, and justified.</w:t>
      </w:r>
    </w:p>
    <w:p>
      <w:pPr>
        <w:pStyle w:val="BodyText"/>
      </w:pPr>
      <w:r>
        <w:t xml:space="preserve">Furthermore, mandatory data disaggregation by source type (primary vs. secondary) is now required, emphasizing the shift towards traceability and primary data. This report\'s methodology is designed to facilitate this, encouraging the collection of supplier-specific data where available to enhance accuracy and compliance.</w:t>
      </w:r>
    </w:p>
    <w:p>
      <w:r>
        <w:pict>
          <v:rect style="width:0;height:1.5pt" o:hralign="center" o:hrstd="t" o:hr="t"/>
        </w:pict>
      </w:r>
    </w:p>
    <w:bookmarkEnd w:id="44"/>
    <w:bookmarkEnd w:id="45"/>
    <w:bookmarkStart w:id="49" w:name="step-5-review-report"/>
    <w:p>
      <w:pPr>
        <w:pStyle w:val="Heading2"/>
      </w:pPr>
      <w:r>
        <w:t xml:space="preserve">5. Step 5: Review &amp; Report</w:t>
      </w:r>
    </w:p>
    <w:bookmarkStart w:id="46" w:name="emission-hotspots"/>
    <w:p>
      <w:pPr>
        <w:pStyle w:val="Heading3"/>
      </w:pPr>
      <w:r>
        <w:t xml:space="preserve">5.1 Emission Hotspots</w:t>
      </w:r>
    </w:p>
    <w:p>
      <w:pPr>
        <w:pStyle w:val="FirstParagraph"/>
      </w:pPr>
      <w:r>
        <w:t xml:space="preserve">While definitive hotspots require actual data calculation, based on typical product lifecycle analyses and the provided parameters, the following are anticipated areas of significant emissions for wvuemyemip:</w:t>
      </w:r>
    </w:p>
    <w:p>
      <w:pPr>
        <w:numPr>
          <w:ilvl w:val="0"/>
          <w:numId w:val="1011"/>
        </w:numPr>
        <w:pStyle w:val="Compact"/>
      </w:pPr>
      <w:r>
        <w:rPr>
          <w:bCs/>
          <w:b/>
        </w:rPr>
        <w:t xml:space="preserve">Raw Material Acquisition &amp; Processing (Scope 3):</w:t>
      </w:r>
      <w:r>
        <w:t xml:space="preserve"> </w:t>
      </w:r>
      <w:r>
        <w:t xml:space="preserve">Especially for materials with high embodied energy or complex supply chains as detailed in `xxppnlgo`. Metals, specialized plastics, and electronics often represent significant impacts.</w:t>
      </w:r>
    </w:p>
    <w:p>
      <w:pPr>
        <w:numPr>
          <w:ilvl w:val="0"/>
          <w:numId w:val="1011"/>
        </w:numPr>
        <w:pStyle w:val="Compact"/>
      </w:pPr>
      <w:r>
        <w:rPr>
          <w:bCs/>
          <w:b/>
        </w:rPr>
        <w:t xml:space="preserve">Manufacturing Energy (Scope 2 &amp; 1):</w:t>
      </w:r>
      <w:r>
        <w:t xml:space="preserve"> </w:t>
      </w:r>
      <w:r>
        <w:t xml:space="preserve">The energy intensity (`hwtyuzvwht`) of the production process in China, despite `suvtwofngt` renewable usage, will be a key contributor, particularly if the remaining grid electricity mix is carbon-intensive.</w:t>
      </w:r>
    </w:p>
    <w:p>
      <w:pPr>
        <w:numPr>
          <w:ilvl w:val="0"/>
          <w:numId w:val="1011"/>
        </w:numPr>
        <w:pStyle w:val="Compact"/>
      </w:pPr>
      <w:r>
        <w:rPr>
          <w:bCs/>
          <w:b/>
        </w:rPr>
        <w:t xml:space="preserve">Use Phase (Scope 3):</w:t>
      </w:r>
      <w:r>
        <w:t xml:space="preserve"> </w:t>
      </w:r>
      <w:r>
        <w:t xml:space="preserve">The product lifespan (`nspwdfiuun`) and energy consumption during use (`mtzhypsoox`) can be substantial, especially for energy-consuming products.</w:t>
      </w:r>
    </w:p>
    <w:p>
      <w:pPr>
        <w:numPr>
          <w:ilvl w:val="0"/>
          <w:numId w:val="1011"/>
        </w:numPr>
        <w:pStyle w:val="Compact"/>
      </w:pPr>
      <w:r>
        <w:rPr>
          <w:bCs/>
          <w:b/>
        </w:rPr>
        <w:t xml:space="preserve">Transportation (Scope 3):</w:t>
      </w:r>
      <w:r>
        <w:t xml:space="preserve"> </w:t>
      </w:r>
      <w:r>
        <w:t xml:space="preserve">Long distances (`mtmpsxyruj`) or inefficient transport modes (`Select Mode`, `Delivery Type`) in a Europe-focused supply chain originating from China can lead to considerable emissions.</w:t>
      </w:r>
    </w:p>
    <w:bookmarkEnd w:id="46"/>
    <w:bookmarkStart w:id="47" w:name="data-reliability-and-limitations"/>
    <w:p>
      <w:pPr>
        <w:pStyle w:val="Heading3"/>
      </w:pPr>
      <w:r>
        <w:t xml:space="preserve">5.2 Data Reliability and Limitations</w:t>
      </w:r>
    </w:p>
    <w:p>
      <w:pPr>
        <w:pStyle w:val="FirstParagraph"/>
      </w:pPr>
      <w:r>
        <w:t xml:space="preserve">The accuracy of this PCF analysis is contingent upon the quality and completeness of the underlying data. As actual numerical inputs for `xxppnlgo`, `mtmpsxyruj`, etc., were not provided, this report presents a methodological framework. A full PCF would require:</w:t>
      </w:r>
    </w:p>
    <w:p>
      <w:pPr>
        <w:numPr>
          <w:ilvl w:val="0"/>
          <w:numId w:val="1012"/>
        </w:numPr>
        <w:pStyle w:val="Compact"/>
      </w:pPr>
      <w:r>
        <w:rPr>
          <w:bCs/>
          <w:b/>
        </w:rPr>
        <w:t xml:space="preserve">Primary Data:</w:t>
      </w:r>
      <w:r>
        <w:t xml:space="preserve"> </w:t>
      </w:r>
      <w:r>
        <w:t xml:space="preserve">Direct data from kesjrzspsf\'s operations (e.g., actual energy bills, fuel consumption, waste logs) and from direct suppliers (e.g., exact material composition, specific production processes).</w:t>
      </w:r>
    </w:p>
    <w:p>
      <w:pPr>
        <w:numPr>
          <w:ilvl w:val="0"/>
          <w:numId w:val="1012"/>
        </w:numPr>
        <w:pStyle w:val="Compact"/>
      </w:pPr>
      <w:r>
        <w:rPr>
          <w:bCs/>
          <w:b/>
        </w:rPr>
        <w:t xml:space="preserve">Secondary Data:</w:t>
      </w:r>
      <w:r>
        <w:t xml:space="preserve"> </w:t>
      </w:r>
      <w:r>
        <w:t xml:space="preserve">High-quality, industry-specific emission factors from reputable databases such as Ecoinvent and DEFRA for processes where primary data is unavailable or not feasible to collect.</w:t>
      </w:r>
    </w:p>
    <w:p>
      <w:pPr>
        <w:pStyle w:val="FirstParagraph"/>
      </w:pPr>
      <w:r>
        <w:t xml:space="preserve">The current analysis serves as a robust framework, highlighting the critical data points required for a precise quantification and demonstrating adherence to the latest GHG Protocol standards.</w:t>
      </w:r>
    </w:p>
    <w:bookmarkEnd w:id="47"/>
    <w:bookmarkStart w:id="48" w:name="circular-economy-impacts"/>
    <w:p>
      <w:pPr>
        <w:pStyle w:val="Heading3"/>
      </w:pPr>
      <w:r>
        <w:t xml:space="preserve">5.3 Circular Economy Impacts</w:t>
      </w:r>
    </w:p>
    <w:p>
      <w:pPr>
        <w:pStyle w:val="FirstParagraph"/>
      </w:pPr>
      <w:r>
        <w:t xml:space="preserve">The provided End-of-Life (EoL) scenarios will be critical in mitigating the overall PCF:</w:t>
      </w:r>
    </w:p>
    <w:p>
      <w:pPr>
        <w:numPr>
          <w:ilvl w:val="0"/>
          <w:numId w:val="1013"/>
        </w:numPr>
        <w:pStyle w:val="Compact"/>
      </w:pPr>
      <w:r>
        <w:rPr>
          <w:bCs/>
          <w:b/>
        </w:rPr>
        <w:t xml:space="preserve">Recyclability Percentage (`izwmsxvnzd`):</w:t>
      </w:r>
      <w:r>
        <w:t xml:space="preserve"> </w:t>
      </w:r>
      <w:r>
        <w:t xml:space="preserve">A higher recyclability percentage reduces the need for virgin materials and avoids EoL disposal emissions. Calculations will account for avoided burden credits (or similar methodologies) based on the proportion of recycled content and recyclability.</w:t>
      </w:r>
    </w:p>
    <w:p>
      <w:pPr>
        <w:numPr>
          <w:ilvl w:val="0"/>
          <w:numId w:val="1013"/>
        </w:numPr>
        <w:pStyle w:val="Compact"/>
      </w:pPr>
      <w:r>
        <w:rPr>
          <w:bCs/>
          <w:b/>
        </w:rPr>
        <w:t xml:space="preserve">Circular/Take-back Programs (`pwtumoyjns`):</w:t>
      </w:r>
      <w:r>
        <w:t xml:space="preserve"> </w:t>
      </w:r>
      <w:r>
        <w:t xml:space="preserve">The presence and effectiveness of circular programs, such as take-back schemes for wvuemyemip, can significantly lower EoL emissions and potentially extend product lifespans, contributing to a more circular economy model. This would reduce the overall system boundary for new material extraction.</w:t>
      </w:r>
    </w:p>
    <w:p>
      <w:r>
        <w:pict>
          <v:rect style="width:0;height:1.5pt" o:hralign="center" o:hrstd="t" o:hr="t"/>
        </w:pict>
      </w:r>
    </w:p>
    <w:bookmarkEnd w:id="48"/>
    <w:bookmarkEnd w:id="49"/>
    <w:bookmarkStart w:id="50" w:name="conclusion-and-recommendations"/>
    <w:p>
      <w:pPr>
        <w:pStyle w:val="Heading2"/>
      </w:pPr>
      <w:r>
        <w:t xml:space="preserve">Conclusion and Recommendations</w:t>
      </w:r>
    </w:p>
    <w:p>
      <w:pPr>
        <w:pStyle w:val="FirstParagraph"/>
      </w:pPr>
      <w:r>
        <w:t xml:space="preserve">This Product Carbon Footprint analysis for wvuemyemip by kesjrzspsf, conducted by wqzligwgqk, provides a comprehensive methodological framework compliant with the GHG Protocol, including the 2026 LSR and Scope 3 updates. While specific numerical data were treated as placeholders, the report outlines how detailed BOM, transport, energy, use-phase, and end-of-life parameters would be rigorously integrated for a precise PCF calculation.</w:t>
      </w:r>
    </w:p>
    <w:p>
      <w:pPr>
        <w:pStyle w:val="BodyText"/>
      </w:pPr>
      <w:r>
        <w:t xml:space="preserve">To further enhance the accuracy and actionable insights of future PCF reports, kesjrzspsf should prioritize:</w:t>
      </w:r>
    </w:p>
    <w:p>
      <w:pPr>
        <w:numPr>
          <w:ilvl w:val="0"/>
          <w:numId w:val="1014"/>
        </w:numPr>
        <w:pStyle w:val="Compact"/>
      </w:pPr>
      <w:r>
        <w:rPr>
          <w:bCs/>
          <w:b/>
        </w:rPr>
        <w:t xml:space="preserve">Primary Data Collection:</w:t>
      </w:r>
      <w:r>
        <w:t xml:space="preserve"> </w:t>
      </w:r>
      <w:r>
        <w:t xml:space="preserve">Systematically gather specific material, energy, and transport data directly from suppliers and internal operations, especially for high-impact categories.</w:t>
      </w:r>
    </w:p>
    <w:p>
      <w:pPr>
        <w:numPr>
          <w:ilvl w:val="0"/>
          <w:numId w:val="1014"/>
        </w:numPr>
        <w:pStyle w:val="Compact"/>
      </w:pPr>
      <w:r>
        <w:rPr>
          <w:bCs/>
          <w:b/>
        </w:rPr>
        <w:t xml:space="preserve">LSR Standard Implementation:</w:t>
      </w:r>
      <w:r>
        <w:t xml:space="preserve"> </w:t>
      </w:r>
      <w:r>
        <w:t xml:space="preserve">For any land-intensive components or processes in the supply chain, ensure compliance with the 2026 Land Sector and Removals Standard, preparing for its effective date of January 1, 2027.</w:t>
      </w:r>
    </w:p>
    <w:p>
      <w:pPr>
        <w:numPr>
          <w:ilvl w:val="0"/>
          <w:numId w:val="1014"/>
        </w:numPr>
        <w:pStyle w:val="Compact"/>
      </w:pPr>
      <w:r>
        <w:rPr>
          <w:bCs/>
          <w:b/>
        </w:rPr>
        <w:t xml:space="preserve">Scope 3 Data Quality:</w:t>
      </w:r>
      <w:r>
        <w:t xml:space="preserve"> </w:t>
      </w:r>
      <w:r>
        <w:t xml:space="preserve">Focus on improving the quality of Scope 3 data to meet the 95% coverage requirement and mandatory data disaggregation, utilizing supplier engagement to gather primary data wherever possible.</w:t>
      </w:r>
    </w:p>
    <w:p>
      <w:pPr>
        <w:numPr>
          <w:ilvl w:val="0"/>
          <w:numId w:val="1014"/>
        </w:numPr>
        <w:pStyle w:val="Compact"/>
      </w:pPr>
      <w:r>
        <w:rPr>
          <w:bCs/>
          <w:b/>
        </w:rPr>
        <w:t xml:space="preserve">Hotspot Mitigation:</w:t>
      </w:r>
      <w:r>
        <w:t xml:space="preserve"> </w:t>
      </w:r>
      <w:r>
        <w:t xml:space="preserve">Once actual calculations are performed, prioritize reduction strategies for identified emission hotspots across the product lifecycle.</w:t>
      </w:r>
    </w:p>
    <w:p>
      <w:pPr>
        <w:numPr>
          <w:ilvl w:val="0"/>
          <w:numId w:val="1014"/>
        </w:numPr>
        <w:pStyle w:val="Compact"/>
      </w:pPr>
      <w:r>
        <w:rPr>
          <w:bCs/>
          <w:b/>
        </w:rPr>
        <w:t xml:space="preserve">Circular Economy Integration:</w:t>
      </w:r>
      <w:r>
        <w:t xml:space="preserve"> </w:t>
      </w:r>
      <w:r>
        <w:t xml:space="preserve">Leverage high recyclability and circular/take-back programs to minimize end-of-life impacts and explore opportunities for design for longevity and material efficiency.</w:t>
      </w:r>
    </w:p>
    <w:p>
      <w:pPr>
        <w:pStyle w:val="FirstParagraph"/>
      </w:pPr>
      <w:r>
        <w:t xml:space="preserve">By implementing these recommendations, kesjrzspsf can not only achieve robust GHG Protocol compliance but also drive meaningful sustainability improvements for wvuemyemip and its broader operations.</w:t>
      </w:r>
    </w:p>
    <w:p>
      <w:pPr>
        <w:pStyle w:val="BodyText"/>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wvuemyemip</dc:title>
  <dc:creator/>
  <dc:description>Detailed Product Carbon Footprint (PCF) analysis report for wvuemyemip, conducted by Senior Sustainability Consultant wqzligwgqk for kesjrzspsf, adhering to GHG Protocol including 2026 LSR and Scope 3 updates.</dc:description>
  <dc:language>en</dc:language>
  <cp:keywords/>
  <dcterms:created xsi:type="dcterms:W3CDTF">2026-07-14T23:52:29Z</dcterms:created>
  <dcterms:modified xsi:type="dcterms:W3CDTF">2026-07-14T23:52:29Z</dcterms:modified>
</cp:coreProperties>
</file>

<file path=docProps/custom.xml><?xml version="1.0" encoding="utf-8"?>
<Properties xmlns="http://schemas.openxmlformats.org/officeDocument/2006/custom-properties" xmlns:vt="http://schemas.openxmlformats.org/officeDocument/2006/docPropsVTypes"/>
</file>