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wvjfjkesow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**wvjfjkesow**</w:t>
      </w:r>
    </w:p>
    <w:p>
      <w:pPr>
        <w:pStyle w:val="BodyText"/>
      </w:pPr>
      <w:r>
        <w:t xml:space="preserve">Company Name: **dlyuyvddff**</w:t>
      </w:r>
    </w:p>
    <w:p>
      <w:pPr>
        <w:pStyle w:val="BodyText"/>
      </w:pPr>
      <w:r>
        <w:t xml:space="preserve">Accounting Standard: **GHG Protocol**</w:t>
      </w:r>
    </w:p>
    <w:p>
      <w:pPr>
        <w:pStyle w:val="BodyText"/>
      </w:pPr>
      <w:r>
        <w:t xml:space="preserve">Senior Sustainability Consultant: **qqqxjjdfkz**</w:t>
      </w:r>
    </w:p>
    <w:p>
      <w:pPr>
        <w:pStyle w:val="BodyText"/>
      </w:pPr>
      <w:r>
        <w:t xml:space="preserve">This report is generated based on available data and industry standards, providing an estimate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For Product: wvjfjkesow</w:t>
      </w:r>
    </w:p>
    <w:p>
      <w:pPr>
        <w:pStyle w:val="BodyText"/>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wvjfjkesow</w:t>
      </w:r>
      <w:r>
        <w:t xml:space="preserve">, manufactured by</w:t>
      </w:r>
      <w:r>
        <w:t xml:space="preserve"> </w:t>
      </w:r>
      <w:r>
        <w:rPr>
          <w:bCs/>
          <w:b/>
        </w:rPr>
        <w:t xml:space="preserve">dlyuyvddff</w:t>
      </w:r>
      <w:r>
        <w:t xml:space="preserve">. The analysis was conducted by Senior Sustainability Consultant</w:t>
      </w:r>
      <w:r>
        <w:t xml:space="preserve"> </w:t>
      </w:r>
      <w:r>
        <w:rPr>
          <w:bCs/>
          <w:b/>
        </w:rPr>
        <w:t xml:space="preserve">qqqxjjdfkz</w:t>
      </w:r>
      <w:r>
        <w:t xml:space="preserve">, adhering strictly to the Greenhouse Gas (GHG) Protocol standards and incorporating the latest 2026 requirements, including the Land Sector and Removals (LSR) Standard and stringent Scope 3 coverage. The objective is to quantify the greenhouse gas emissions (in CO2e) across the product\'s lifecycle, identify key emission hotspots, and provide a foundation for targeted reduction strategies. The assessment boundary is \'factory_gate\', focusing on upstream and core manufacturing processes, with consideration for downstream use and end-of-life impacts within Scope 3.</w:t>
      </w:r>
    </w:p>
    <w:p>
      <w:r>
        <w:pict>
          <v:rect style="width:0;height:1.5pt" o:hralign="center" o:hrstd="t" o:hr="t"/>
        </w:pict>
      </w:r>
    </w:p>
    <w:bookmarkEnd w:id="22"/>
    <w:bookmarkStart w:id="33"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wvjfjkesow</w:t>
      </w:r>
      <w:r>
        <w:t xml:space="preserve"> </w:t>
      </w:r>
      <w:r>
        <w:t xml:space="preserve">was calculated following the five-step methodology prescribed by the GHG Protocol Product Standard, integrated with the latest 2026 updates for corporate reporting.</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wvjfjkesow</w:t>
      </w:r>
      <w:r>
        <w:t xml:space="preserve">. This unit serves as the reference basis for quantifying all associated environmental impacts.</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This includes all upstream processes (raw material extraction, processing, and transportation to the manufacturing facility) and the manufacturing processes at the production site. While the primary boundary is \'factory_gate\', relevant downstream impacts such as transport to customer, product use, and end-of-life are captured within Scope 3 as per GHG Protocol requirements to ensure comprehensive reporting.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a</w:t>
      </w:r>
      <w:r>
        <w:t xml:space="preserve"> </w:t>
      </w:r>
      <w:r>
        <w:rPr>
          <w:bCs/>
          <w:b/>
        </w:rPr>
        <w:t xml:space="preserve">Europe Focused</w:t>
      </w:r>
      <w:r>
        <w:t xml:space="preserve"> </w:t>
      </w:r>
      <w:r>
        <w:t xml:space="preserve">supply chain for upstream materials and logistics. Emission factors and energy mixes are selected to be geographically relevant to these regions.</w:t>
      </w:r>
    </w:p>
    <w:p>
      <w:pPr>
        <w:numPr>
          <w:ilvl w:val="0"/>
          <w:numId w:val="1001"/>
        </w:numPr>
        <w:pStyle w:val="Compact"/>
      </w:pPr>
      <w:r>
        <w:rPr>
          <w:bCs/>
          <w:b/>
        </w:rPr>
        <w:t xml:space="preserve">Allocation:</w:t>
      </w:r>
      <w:r>
        <w:t xml:space="preserve"> </w:t>
      </w:r>
      <w:r>
        <w:t xml:space="preserve">Given the focus on a single product, direct allocation of emissions is applied where possible. For shared processes or infrastructure, mass-based or economic allocation is used as appropriate, ensuring no double counting of emissions.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wvjfjkesow</w:t>
      </w:r>
      <w:r>
        <w:t xml:space="preserve"> </w:t>
      </w:r>
      <w:r>
        <w:t xml:space="preserve">is mapped across several key stages to identify all relevant emission sources:</w:t>
      </w:r>
    </w:p>
    <w:p>
      <w:pPr>
        <w:numPr>
          <w:ilvl w:val="0"/>
          <w:numId w:val="1002"/>
        </w:numPr>
        <w:pStyle w:val="Compact"/>
      </w:pPr>
      <w:r>
        <w:rPr>
          <w:bCs/>
          <w:b/>
        </w:rPr>
        <w:t xml:space="preserve">Raw Material Acquisition &amp; Pre-processing (Upstream - Scope 3, Category 1):</w:t>
      </w:r>
      <w:r>
        <w:t xml:space="preserve"> </w:t>
      </w:r>
      <w:r>
        <w:t xml:space="preserve">Includes extraction, cultivation, and initial processing of all materials listed in the Bill of Materials (BOM), followed by their transport to manufacturing sites.</w:t>
      </w:r>
    </w:p>
    <w:p>
      <w:pPr>
        <w:numPr>
          <w:ilvl w:val="0"/>
          <w:numId w:val="1002"/>
        </w:numPr>
        <w:pStyle w:val="Compact"/>
      </w:pPr>
      <w:r>
        <w:rPr>
          <w:bCs/>
          <w:b/>
        </w:rPr>
        <w:t xml:space="preserve">Manufacturing (Core - Scope 1 &amp; 2):</w:t>
      </w:r>
      <w:r>
        <w:t xml:space="preserve"> </w:t>
      </w:r>
      <w:r>
        <w:t xml:space="preserve">Encompasses energy consumption for production processes and any direct emissions from owned or controlled sources at the manufacturing facility in China.</w:t>
      </w:r>
    </w:p>
    <w:p>
      <w:pPr>
        <w:numPr>
          <w:ilvl w:val="0"/>
          <w:numId w:val="1002"/>
        </w:numPr>
        <w:pStyle w:val="Compact"/>
      </w:pPr>
      <w:r>
        <w:rPr>
          <w:bCs/>
          <w:b/>
        </w:rPr>
        <w:t xml:space="preserve">Transport (Upstream &amp; Downstream - Scope 3, Categories 4 &amp; 9):</w:t>
      </w:r>
      <w:r>
        <w:t xml:space="preserve"> </w:t>
      </w:r>
      <w:r>
        <w:t xml:space="preserve">Covers transportation of raw materials and components from Europe to the production facility in China, and transport of the finished product to the customer.</w:t>
      </w:r>
    </w:p>
    <w:p>
      <w:pPr>
        <w:numPr>
          <w:ilvl w:val="0"/>
          <w:numId w:val="1002"/>
        </w:numPr>
        <w:pStyle w:val="Compact"/>
      </w:pPr>
      <w:r>
        <w:rPr>
          <w:bCs/>
          <w:b/>
        </w:rPr>
        <w:t xml:space="preserve">Use Phase (Downstream - Scope 3, Category 11):</w:t>
      </w:r>
      <w:r>
        <w:t xml:space="preserve"> </w:t>
      </w:r>
      <w:r>
        <w:t xml:space="preserve">Accounts for energy consumption during the product\'s expected lifespan.</w:t>
      </w:r>
    </w:p>
    <w:p>
      <w:pPr>
        <w:numPr>
          <w:ilvl w:val="0"/>
          <w:numId w:val="1002"/>
        </w:numPr>
        <w:pStyle w:val="Compact"/>
      </w:pPr>
      <w:r>
        <w:rPr>
          <w:bCs/>
          <w:b/>
        </w:rPr>
        <w:t xml:space="preserve">End-of-Life (Downstream - Scope 3, Category 12):</w:t>
      </w:r>
      <w:r>
        <w:t xml:space="preserve"> </w:t>
      </w:r>
      <w:r>
        <w:t xml:space="preserve">Addresses emissions and potential avoided emissions from recycling, disposal, or other circular economy initiatives.</w:t>
      </w:r>
    </w:p>
    <w:bookmarkEnd w:id="24"/>
    <w:bookmarkStart w:id="30" w:name="collect-data"/>
    <w:p>
      <w:pPr>
        <w:pStyle w:val="Heading3"/>
      </w:pPr>
      <w:r>
        <w:t xml:space="preserve">1.3. Collect Data</w:t>
      </w:r>
    </w:p>
    <w:p>
      <w:pPr>
        <w:pStyle w:val="FirstParagraph"/>
      </w:pPr>
      <w:r>
        <w:t xml:space="preserve">Data collection involved gathering specific primary data provided for</w:t>
      </w:r>
      <w:r>
        <w:t xml:space="preserve"> </w:t>
      </w:r>
      <w:r>
        <w:rPr>
          <w:bCs/>
          <w:b/>
        </w:rPr>
        <w:t xml:space="preserve">wvjfjkesow</w:t>
      </w:r>
      <w:r>
        <w:t xml:space="preserve"> </w:t>
      </w:r>
      <w:r>
        <w:t xml:space="preserve">and utilizing secondary data from reputable databases for generic processes and emission factors.</w:t>
      </w:r>
    </w:p>
    <w:bookmarkStart w:id="25" w:name="Xbad458781f32429c6c30f6445c096cbea337eb0"/>
    <w:p>
      <w:pPr>
        <w:pStyle w:val="Heading4"/>
      </w:pPr>
      <w:r>
        <w:t xml:space="preserve">1.3.1. Detailed Bill of Materials (BOM) Data: zwogrzgy (Illustrative)</w:t>
      </w:r>
    </w:p>
    <w:p>
      <w:pPr>
        <w:pStyle w:val="FirstParagraph"/>
      </w:pPr>
      <w:r>
        <w:t xml:space="preserve">The provided Detailed Bill of Materials (BOM) for</w:t>
      </w:r>
      <w:r>
        <w:t xml:space="preserve"> </w:t>
      </w:r>
      <w:r>
        <w:rPr>
          <w:bCs/>
          <w:b/>
        </w:rPr>
        <w:t xml:space="preserve">wvjfjkesow</w:t>
      </w:r>
      <w:r>
        <w:t xml:space="preserve">, referred to as</w:t>
      </w:r>
      <w:r>
        <w:t xml:space="preserve"> </w:t>
      </w:r>
      <w:r>
        <w:rPr>
          <w:bCs/>
          <w:b/>
        </w:rPr>
        <w:t xml:space="preserve">zwogrzgy</w:t>
      </w:r>
      <w:r>
        <w:t xml:space="preserve">, outlines critical components and their material characteristics. As</w:t>
      </w:r>
      <w:r>
        <w:t xml:space="preserve"> </w:t>
      </w:r>
      <w:r>
        <w:rPr>
          <w:bCs/>
          <w:b/>
        </w:rPr>
        <w:t xml:space="preserve">zwogrzgy</w:t>
      </w:r>
      <w:r>
        <w:t xml:space="preserve"> </w:t>
      </w:r>
      <w:r>
        <w:t xml:space="preserve">is a placeholder string, illustrative data following the specified format (ID, Description, Category, Process, Qty, Unit, Emission Factor, Total Carbon) has been generated to demonstrate the calculation methodology. This illustrative data allows for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9.00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bl>
    <w:p>
      <w:pPr>
        <w:pStyle w:val="BodyText"/>
      </w:pPr>
      <w:r>
        <w:rPr>
          <w:iCs/>
          <w:i/>
        </w:rPr>
        <w:t xml:space="preserve">Note: Emission factors for materials are illustrative, based on typical industry values (e.g., primary aluminum is energy-intensive, plastics vary by type and process).</w:t>
      </w:r>
    </w:p>
    <w:bookmarkEnd w:id="25"/>
    <w:bookmarkStart w:id="26" w:name="logistics-data"/>
    <w:p>
      <w:pPr>
        <w:pStyle w:val="Heading4"/>
      </w:pPr>
      <w:r>
        <w:t xml:space="preserve">1.3.2. Logistics Data</w:t>
      </w:r>
    </w:p>
    <w:p>
      <w:pPr>
        <w:numPr>
          <w:ilvl w:val="0"/>
          <w:numId w:val="1003"/>
        </w:numPr>
        <w:pStyle w:val="Compact"/>
      </w:pPr>
      <w:r>
        <w:rPr>
          <w:bCs/>
          <w:b/>
        </w:rPr>
        <w:t xml:space="preserve">Transport Mode:</w:t>
      </w:r>
      <w:r>
        <w:t xml:space="preserve"> </w:t>
      </w:r>
      <w:r>
        <w:t xml:space="preserve">Select Mode (Assumed: Ocean Freight for main international leg, Road Freight for first and last mile).</w:t>
      </w:r>
    </w:p>
    <w:p>
      <w:pPr>
        <w:numPr>
          <w:ilvl w:val="0"/>
          <w:numId w:val="1003"/>
        </w:numPr>
        <w:pStyle w:val="Compact"/>
      </w:pPr>
      <w:r>
        <w:rPr>
          <w:bCs/>
          <w:b/>
        </w:rPr>
        <w:t xml:space="preserve">Transport Distance:</w:t>
      </w:r>
      <w:r>
        <w:t xml:space="preserve"> </w:t>
      </w:r>
      <w:r>
        <w:rPr>
          <w:bCs/>
          <w:b/>
        </w:rPr>
        <w:t xml:space="preserve">simtvftjvg</w:t>
      </w:r>
      <w:r>
        <w:t xml:space="preserve"> </w:t>
      </w:r>
      <w:r>
        <w:t xml:space="preserve">(Assumed: 10,000 km Ocean Freight, 500 km Europe Road Freight, 200 km China Road Freight).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Parcel Delivery Service via light-duty van).</w:t>
      </w:r>
    </w:p>
    <w:bookmarkEnd w:id="26"/>
    <w:bookmarkStart w:id="27" w:name="Xf018761ec5c387a04adae8eea50382488e62a40"/>
    <w:p>
      <w:pPr>
        <w:pStyle w:val="Heading4"/>
      </w:pPr>
      <w:r>
        <w:t xml:space="preserve">1.3.3. Production Energy Data (Manufacturing in China)</w:t>
      </w:r>
    </w:p>
    <w:p>
      <w:pPr>
        <w:numPr>
          <w:ilvl w:val="0"/>
          <w:numId w:val="1004"/>
        </w:numPr>
        <w:pStyle w:val="Compact"/>
      </w:pPr>
      <w:r>
        <w:rPr>
          <w:bCs/>
          <w:b/>
        </w:rPr>
        <w:t xml:space="preserve">Renewable Energy Usage:</w:t>
      </w:r>
      <w:r>
        <w:t xml:space="preserve"> </w:t>
      </w:r>
      <w:r>
        <w:rPr>
          <w:bCs/>
          <w:b/>
        </w:rPr>
        <w:t xml:space="preserve">ixorwdfdwm</w:t>
      </w:r>
      <w:r>
        <w:t xml:space="preserve"> </w:t>
      </w:r>
      <w:r>
        <w:t xml:space="preserve">(Assumed: 30% of total electricity consumed).</w:t>
      </w:r>
    </w:p>
    <w:p>
      <w:pPr>
        <w:numPr>
          <w:ilvl w:val="0"/>
          <w:numId w:val="1004"/>
        </w:numPr>
        <w:pStyle w:val="Compact"/>
      </w:pPr>
      <w:r>
        <w:rPr>
          <w:bCs/>
          <w:b/>
        </w:rPr>
        <w:t xml:space="preserve">Energy Intensity (kWh/unit):</w:t>
      </w:r>
      <w:r>
        <w:t xml:space="preserve"> </w:t>
      </w:r>
      <w:r>
        <w:rPr>
          <w:bCs/>
          <w:b/>
        </w:rPr>
        <w:t xml:space="preserve">pfpvrsdrjw</w:t>
      </w:r>
      <w:r>
        <w:t xml:space="preserve"> </w:t>
      </w:r>
      <w:r>
        <w:t xml:space="preserve">(Assumed: 5 kWh/unit).</w:t>
      </w:r>
    </w:p>
    <w:p>
      <w:pPr>
        <w:numPr>
          <w:ilvl w:val="0"/>
          <w:numId w:val="1004"/>
        </w:numPr>
        <w:pStyle w:val="Compact"/>
      </w:pPr>
      <w:r>
        <w:rPr>
          <w:bCs/>
          <w:b/>
        </w:rPr>
        <w:t xml:space="preserve">China Grid Electricity Emission Factor:</w:t>
      </w:r>
      <w:r>
        <w:t xml:space="preserve"> </w:t>
      </w:r>
      <w:r>
        <w:t xml:space="preserve">0.577 kg CO2e/kWh (based on 577 kg CO2e/MWh, a national average for China in 2020/2021).</w:t>
      </w:r>
    </w:p>
    <w:p>
      <w:pPr>
        <w:numPr>
          <w:ilvl w:val="0"/>
          <w:numId w:val="1004"/>
        </w:numPr>
        <w:pStyle w:val="Compact"/>
      </w:pPr>
      <w:r>
        <w:rPr>
          <w:bCs/>
          <w:b/>
        </w:rPr>
        <w:t xml:space="preserve">Renewable Electricity Emission Factor:</w:t>
      </w:r>
      <w:r>
        <w:t xml:space="preserve"> </w:t>
      </w:r>
      <w:r>
        <w:t xml:space="preserve">0.03 kg CO2e/kWh (illustrative for low-carbon sources like hydro/wind).</w:t>
      </w:r>
    </w:p>
    <w:bookmarkEnd w:id="27"/>
    <w:bookmarkStart w:id="28" w:name="use-phase-data"/>
    <w:p>
      <w:pPr>
        <w:pStyle w:val="Heading4"/>
      </w:pPr>
      <w:r>
        <w:t xml:space="preserve">1.3.4. Use Phase Data</w:t>
      </w:r>
    </w:p>
    <w:p>
      <w:pPr>
        <w:numPr>
          <w:ilvl w:val="0"/>
          <w:numId w:val="1005"/>
        </w:numPr>
        <w:pStyle w:val="Compact"/>
      </w:pPr>
      <w:r>
        <w:rPr>
          <w:bCs/>
          <w:b/>
        </w:rPr>
        <w:t xml:space="preserve">Product Lifespan:</w:t>
      </w:r>
      <w:r>
        <w:t xml:space="preserve"> </w:t>
      </w:r>
      <w:r>
        <w:rPr>
          <w:bCs/>
          <w:b/>
        </w:rPr>
        <w:t xml:space="preserve">udxujsgljd</w:t>
      </w:r>
      <w:r>
        <w:t xml:space="preserve"> </w:t>
      </w:r>
      <w:r>
        <w:t xml:space="preserve">(Assumed: 5 years).</w:t>
      </w:r>
    </w:p>
    <w:p>
      <w:pPr>
        <w:numPr>
          <w:ilvl w:val="0"/>
          <w:numId w:val="1005"/>
        </w:numPr>
        <w:pStyle w:val="Compact"/>
      </w:pPr>
      <w:r>
        <w:rPr>
          <w:bCs/>
          <w:b/>
        </w:rPr>
        <w:t xml:space="preserve">Energy Consumption in Use:</w:t>
      </w:r>
      <w:r>
        <w:t xml:space="preserve"> </w:t>
      </w:r>
      <w:r>
        <w:rPr>
          <w:bCs/>
          <w:b/>
        </w:rPr>
        <w:t xml:space="preserve">rmyxmzosqo</w:t>
      </w:r>
      <w:r>
        <w:t xml:space="preserve"> </w:t>
      </w:r>
      <w:r>
        <w:t xml:space="preserve">(Assumed: 10 kWh/year).</w:t>
      </w:r>
    </w:p>
    <w:bookmarkEnd w:id="28"/>
    <w:bookmarkStart w:id="29" w:name="end-of-life-eol-data"/>
    <w:p>
      <w:pPr>
        <w:pStyle w:val="Heading4"/>
      </w:pPr>
      <w:r>
        <w:t xml:space="preserve">1.3.5. End-of-Life (EoL) Data</w:t>
      </w:r>
    </w:p>
    <w:p>
      <w:pPr>
        <w:numPr>
          <w:ilvl w:val="0"/>
          <w:numId w:val="1006"/>
        </w:numPr>
        <w:pStyle w:val="Compact"/>
      </w:pPr>
      <w:r>
        <w:rPr>
          <w:bCs/>
          <w:b/>
        </w:rPr>
        <w:t xml:space="preserve">Recyclability Percentage:</w:t>
      </w:r>
      <w:r>
        <w:t xml:space="preserve"> </w:t>
      </w:r>
      <w:r>
        <w:rPr>
          <w:bCs/>
          <w:b/>
        </w:rPr>
        <w:t xml:space="preserve">oqjszfyeph</w:t>
      </w:r>
      <w:r>
        <w:t xml:space="preserve"> </w:t>
      </w:r>
      <w:r>
        <w:t xml:space="preserve">(Assumed: 70%).</w:t>
      </w:r>
    </w:p>
    <w:p>
      <w:pPr>
        <w:numPr>
          <w:ilvl w:val="0"/>
          <w:numId w:val="1006"/>
        </w:numPr>
        <w:pStyle w:val="Compact"/>
      </w:pPr>
      <w:r>
        <w:rPr>
          <w:bCs/>
          <w:b/>
        </w:rPr>
        <w:t xml:space="preserve">Circular/Take-back Programs:</w:t>
      </w:r>
      <w:r>
        <w:t xml:space="preserve"> </w:t>
      </w:r>
      <w:r>
        <w:rPr>
          <w:bCs/>
          <w:b/>
        </w:rPr>
        <w:t xml:space="preserve">swmlqmhdvu</w:t>
      </w:r>
      <w:r>
        <w:t xml:space="preserve"> </w:t>
      </w:r>
      <w:r>
        <w:t xml:space="preserve">(Assumed: Product take-back program established with local recycling partners).</w:t>
      </w:r>
    </w:p>
    <w:bookmarkEnd w:id="29"/>
    <w:bookmarkEnd w:id="30"/>
    <w:bookmarkStart w:id="31" w:name="accounting-standard-ghg-protocol"/>
    <w:p>
      <w:pPr>
        <w:pStyle w:val="Heading3"/>
      </w:pPr>
      <w:r>
        <w:t xml:space="preserve">1.4. Accounting Standard: GHG Protocol</w:t>
      </w:r>
    </w:p>
    <w:p>
      <w:pPr>
        <w:pStyle w:val="FirstParagraph"/>
      </w:pPr>
      <w:r>
        <w:t xml:space="preserve">This report adheres to the GHG Protocol Product Standard, which complements the Corporate Standard and the Corporate Value Chain (Scope 3) Accounting and Reporting Standard. Emissions are categorized into Scope 1 (direct emissions from owned/controlled sources), Scope 2 (indirect emissions from purchased energy), and Scope 3 (all other indirect emissions in the value chain).</w:t>
      </w:r>
    </w:p>
    <w:bookmarkEnd w:id="31"/>
    <w:bookmarkStart w:id="32" w:name="ghg-protocol-updates"/>
    <w:p>
      <w:pPr>
        <w:pStyle w:val="Heading3"/>
      </w:pPr>
      <w:r>
        <w:t xml:space="preserve">1.5. 2026 GHG Protocol Updates</w:t>
      </w:r>
    </w:p>
    <w:p>
      <w:pPr>
        <w:pStyle w:val="FirstParagraph"/>
      </w:pPr>
      <w:r>
        <w:t xml:space="preserve">This analysis incorporates critical updates from the 2026 GHG Protocol revisions:</w:t>
      </w:r>
    </w:p>
    <w:p>
      <w:pPr>
        <w:numPr>
          <w:ilvl w:val="0"/>
          <w:numId w:val="1007"/>
        </w:numPr>
        <w:pStyle w:val="Compact"/>
      </w:pPr>
      <w:r>
        <w:rPr>
          <w:bCs/>
          <w:b/>
        </w:rPr>
        <w:t xml:space="preserve">Land Sector and Removals (LSR) Standard:</w:t>
      </w:r>
      <w:r>
        <w:t xml:space="preserve"> </w:t>
      </w:r>
      <w:r>
        <w:t xml:space="preserve">The LSR Standard, effective January 1, 2027, provides requirements and guidance for quantifying, reporting, and tracking land emissions and CO2 removals, including from land management, land use change, and technological CO2 removals. While specific land use data for</w:t>
      </w:r>
      <w:r>
        <w:t xml:space="preserve"> </w:t>
      </w:r>
      <w:r>
        <w:rPr>
          <w:bCs/>
          <w:b/>
        </w:rPr>
        <w:t xml:space="preserve">wvjfjkesow</w:t>
      </w:r>
      <w:r>
        <w:t xml:space="preserve">\'s raw materials was not provided, the principles of the LSR Standard would be applied if agricultural or forestry-derived inputs or significant land-use change impacts were identified in the supply chain.</w:t>
      </w:r>
    </w:p>
    <w:p>
      <w:pPr>
        <w:numPr>
          <w:ilvl w:val="0"/>
          <w:numId w:val="1007"/>
        </w:numPr>
        <w:pStyle w:val="Compact"/>
      </w:pPr>
      <w:r>
        <w:rPr>
          <w:bCs/>
          <w:b/>
        </w:rPr>
        <w:t xml:space="preserve">Scope 3 Compliance (95% Coverage):</w:t>
      </w:r>
      <w:r>
        <w:t xml:space="preserve"> </w:t>
      </w:r>
      <w:r>
        <w:t xml:space="preserve">As per the 2026 requirements, companies need to account for and report at least 95% of total required Scope 3 emissions. This analysis aims for comprehensive coverage of relevant Scope 3 categories, ensuring all significant upstream and downstream emissions are considered.</w:t>
      </w:r>
    </w:p>
    <w:p>
      <w:r>
        <w:pict>
          <v:rect style="width:0;height:1.5pt" o:hralign="center" o:hrstd="t" o:hr="t"/>
        </w:pict>
      </w:r>
    </w:p>
    <w:bookmarkEnd w:id="32"/>
    <w:bookmarkEnd w:id="33"/>
    <w:bookmarkStart w:id="39" w:name="X2c62247db19834934c44c209ad423fe06ba5c64"/>
    <w:p>
      <w:pPr>
        <w:pStyle w:val="Heading2"/>
      </w:pPr>
      <w:r>
        <w:t xml:space="preserve">2. Calculation of Emissions (Activity * Emission Factor = CO2e)</w:t>
      </w:r>
    </w:p>
    <w:p>
      <w:pPr>
        <w:pStyle w:val="FirstParagraph"/>
      </w:pPr>
      <w:r>
        <w:t xml:space="preserve">Emissions are calculated for each life cycle stage and categorized by Scope.</w:t>
      </w:r>
    </w:p>
    <w:bookmarkStart w:id="34" w:name="Xd4e7e720e4f84a96eafb685fff4447b3e898057"/>
    <w:p>
      <w:pPr>
        <w:pStyle w:val="Heading3"/>
      </w:pPr>
      <w:r>
        <w:t xml:space="preserve">2.1. Upstream Emissions (Scope 3, Category 1: Purchased Goods and Services)</w:t>
      </w:r>
    </w:p>
    <w:p>
      <w:pPr>
        <w:pStyle w:val="FirstParagraph"/>
      </w:pPr>
      <w:r>
        <w:t xml:space="preserve">These emissions arise from the extraction, production, and transport of raw materials and components, as detailed in the illustrative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BOM Item (Illustrative)</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CO2e (kg CO2e)</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9.00 kg CO2e/kg</w:t>
            </w:r>
          </w:p>
        </w:tc>
        <w:tc>
          <w:tcPr/>
          <w:p>
            <w:pPr>
              <w:pStyle w:val="Compact"/>
              <w:jc w:val="left"/>
            </w:pPr>
            <w:r>
              <w:t xml:space="preserve">4.50</w:t>
            </w:r>
          </w:p>
        </w:tc>
      </w:tr>
      <w:tr>
        <w:tc>
          <w:tcPr/>
          <w:p>
            <w:pPr>
              <w:pStyle w:val="Compact"/>
              <w:jc w:val="left"/>
            </w:pPr>
            <w:r>
              <w:t xml:space="preserve">ABS Plastic Housing</w:t>
            </w:r>
          </w:p>
        </w:tc>
        <w:tc>
          <w:tcPr/>
          <w:p>
            <w:pPr>
              <w:pStyle w:val="Compact"/>
              <w:jc w:val="left"/>
            </w:pPr>
            <w:r>
              <w:t xml:space="preserve">0.2 kg</w:t>
            </w:r>
          </w:p>
        </w:tc>
        <w:tc>
          <w:tcPr/>
          <w:p>
            <w:pPr>
              <w:pStyle w:val="Compact"/>
              <w:jc w:val="left"/>
            </w:pPr>
            <w:r>
              <w:t xml:space="preserve">3.00 kg CO2e/kg</w:t>
            </w:r>
          </w:p>
        </w:tc>
        <w:tc>
          <w:tcPr/>
          <w:p>
            <w:pPr>
              <w:pStyle w:val="Compact"/>
              <w:jc w:val="left"/>
            </w:pPr>
            <w:r>
              <w:t xml:space="preserve">0.60</w:t>
            </w:r>
          </w:p>
        </w:tc>
      </w:tr>
      <w:tr>
        <w:tc>
          <w:tcPr/>
          <w:p>
            <w:pPr>
              <w:pStyle w:val="Compact"/>
              <w:jc w:val="left"/>
            </w:pPr>
            <w:r>
              <w:t xml:space="preserve">Printed Circuit Board (PCB)</w:t>
            </w:r>
          </w:p>
        </w:tc>
        <w:tc>
          <w:tcPr/>
          <w:p>
            <w:pPr>
              <w:pStyle w:val="Compact"/>
              <w:jc w:val="left"/>
            </w:pPr>
            <w:r>
              <w:t xml:space="preserve">0.1 unit</w:t>
            </w:r>
          </w:p>
        </w:tc>
        <w:tc>
          <w:tcPr/>
          <w:p>
            <w:pPr>
              <w:pStyle w:val="Compact"/>
              <w:jc w:val="left"/>
            </w:pPr>
            <w:r>
              <w:t xml:space="preserve">10.00 kg CO2e/unit</w:t>
            </w:r>
          </w:p>
        </w:tc>
        <w:tc>
          <w:tcPr/>
          <w:p>
            <w:pPr>
              <w:pStyle w:val="Compact"/>
              <w:jc w:val="left"/>
            </w:pPr>
            <w:r>
              <w:t xml:space="preserve">1.00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2.50 kg CO2e/kg</w:t>
            </w:r>
          </w:p>
        </w:tc>
        <w:tc>
          <w:tcPr/>
          <w:p>
            <w:pPr>
              <w:pStyle w:val="Compact"/>
              <w:jc w:val="left"/>
            </w:pPr>
            <w:r>
              <w:t xml:space="preserve">0.13</w:t>
            </w:r>
          </w:p>
        </w:tc>
      </w:tr>
      <w:tr>
        <w:tc>
          <w:tcPr>
            <w:gridSpan w:val="3"/>
          </w:tcPr>
          <w:p>
            <w:pPr>
              <w:pStyle w:val="Compact"/>
              <w:jc w:val="left"/>
            </w:pPr>
            <w:r>
              <w:rPr>
                <w:bCs/>
                <w:b/>
              </w:rPr>
              <w:t xml:space="preserve">Total Upstream Materials (Scope 3)</w:t>
            </w:r>
          </w:p>
        </w:tc>
        <w:tc>
          <w:tcPr/>
          <w:p>
            <w:pPr>
              <w:pStyle w:val="Compact"/>
              <w:jc w:val="left"/>
            </w:pPr>
            <w:r>
              <w:rPr>
                <w:bCs/>
                <w:b/>
              </w:rPr>
              <w:t xml:space="preserve">6.23</w:t>
            </w:r>
          </w:p>
        </w:tc>
      </w:tr>
    </w:tbl>
    <w:bookmarkEnd w:id="34"/>
    <w:bookmarkStart w:id="35" w:name="Xc3c3454ae82cee025c06cf157ffa2c552e3a3b6"/>
    <w:p>
      <w:pPr>
        <w:pStyle w:val="Heading3"/>
      </w:pPr>
      <w:r>
        <w:t xml:space="preserve">2.2. Manufacturing Emissions (Factory Operations in China)</w:t>
      </w:r>
    </w:p>
    <w:p>
      <w:pPr>
        <w:pStyle w:val="FirstParagraph"/>
      </w:pPr>
      <w:r>
        <w:t xml:space="preserve">These include direct emissions (Scope 1) and indirect emissions from purchased electricity (Scope 2).</w:t>
      </w:r>
    </w:p>
    <w:p>
      <w:pPr>
        <w:numPr>
          <w:ilvl w:val="0"/>
          <w:numId w:val="1008"/>
        </w:numPr>
        <w:pStyle w:val="Compact"/>
      </w:pPr>
      <w:r>
        <w:rPr>
          <w:bCs/>
          <w:b/>
        </w:rPr>
        <w:t xml:space="preserve">Energy Intensity:</w:t>
      </w:r>
      <w:r>
        <w:t xml:space="preserve"> </w:t>
      </w:r>
      <w:r>
        <w:t xml:space="preserve">5 kWh/unit</w:t>
      </w:r>
    </w:p>
    <w:p>
      <w:pPr>
        <w:numPr>
          <w:ilvl w:val="0"/>
          <w:numId w:val="1008"/>
        </w:numPr>
        <w:pStyle w:val="Compact"/>
      </w:pPr>
      <w:r>
        <w:rPr>
          <w:bCs/>
          <w:b/>
        </w:rPr>
        <w:t xml:space="preserve">Renewable Energy Usage:</w:t>
      </w:r>
      <w:r>
        <w:t xml:space="preserve"> </w:t>
      </w:r>
      <w:r>
        <w:t xml:space="preserve">30%</w:t>
      </w:r>
    </w:p>
    <w:p>
      <w:pPr>
        <w:numPr>
          <w:ilvl w:val="0"/>
          <w:numId w:val="1008"/>
        </w:numPr>
        <w:pStyle w:val="Compact"/>
      </w:pPr>
      <w:r>
        <w:rPr>
          <w:bCs/>
          <w:b/>
        </w:rPr>
        <w:t xml:space="preserve">Non-Renewable Electricity:</w:t>
      </w:r>
      <w:r>
        <w:t xml:space="preserve"> </w:t>
      </w:r>
      <w:r>
        <w:t xml:space="preserve">5 kWh/unit * (1 - 0.30) = 3.5 kWh/unit</w:t>
      </w:r>
    </w:p>
    <w:p>
      <w:pPr>
        <w:numPr>
          <w:ilvl w:val="0"/>
          <w:numId w:val="1008"/>
        </w:numPr>
        <w:pStyle w:val="Compact"/>
      </w:pPr>
      <w:r>
        <w:rPr>
          <w:bCs/>
          <w:b/>
        </w:rPr>
        <w:t xml:space="preserve">Renewable Electricity:</w:t>
      </w:r>
      <w:r>
        <w:t xml:space="preserve"> </w:t>
      </w:r>
      <w:r>
        <w:t xml:space="preserve">5 kWh/unit * 0.30 = 1.5 kWh/unit</w:t>
      </w:r>
    </w:p>
    <w:p>
      <w:pPr>
        <w:numPr>
          <w:ilvl w:val="0"/>
          <w:numId w:val="1008"/>
        </w:numPr>
        <w:pStyle w:val="Compact"/>
      </w:pPr>
      <w:r>
        <w:rPr>
          <w:bCs/>
          <w:b/>
        </w:rPr>
        <w:t xml:space="preserve">Non-Renewable Emissions:</w:t>
      </w:r>
      <w:r>
        <w:t xml:space="preserve"> </w:t>
      </w:r>
      <w:r>
        <w:t xml:space="preserve">3.5 kWh/unit * 0.577 kg CO2e/kWh = 2.0195 kg CO2e/unit</w:t>
      </w:r>
    </w:p>
    <w:p>
      <w:pPr>
        <w:numPr>
          <w:ilvl w:val="0"/>
          <w:numId w:val="1008"/>
        </w:numPr>
        <w:pStyle w:val="Compact"/>
      </w:pPr>
      <w:r>
        <w:rPr>
          <w:bCs/>
          <w:b/>
        </w:rPr>
        <w:t xml:space="preserve">Renewable Emissions:</w:t>
      </w:r>
      <w:r>
        <w:t xml:space="preserve"> </w:t>
      </w:r>
      <w:r>
        <w:t xml:space="preserve">1.5 kWh/unit * 0.03 kg CO2e/kWh = 0.045 kg CO2e/unit</w:t>
      </w:r>
    </w:p>
    <w:p>
      <w:pPr>
        <w:numPr>
          <w:ilvl w:val="0"/>
          <w:numId w:val="1008"/>
        </w:numPr>
        <w:pStyle w:val="Compact"/>
      </w:pPr>
      <w:r>
        <w:rPr>
          <w:bCs/>
          <w:b/>
        </w:rPr>
        <w:t xml:space="preserve">Scope 1:</w:t>
      </w:r>
      <w:r>
        <w:t xml:space="preserve"> </w:t>
      </w:r>
      <w:r>
        <w:t xml:space="preserve">Direct process emissions from manufacturing (if any, not specified, assumed negligible for this example or integrated into material EFs). 0.00 kg CO2e/unit.</w:t>
      </w:r>
    </w:p>
    <w:p>
      <w:pPr>
        <w:numPr>
          <w:ilvl w:val="0"/>
          <w:numId w:val="1008"/>
        </w:numPr>
        <w:pStyle w:val="Compact"/>
      </w:pPr>
      <w:r>
        <w:rPr>
          <w:bCs/>
          <w:b/>
        </w:rPr>
        <w:t xml:space="preserve">Scope 2:</w:t>
      </w:r>
      <w:r>
        <w:t xml:space="preserve"> </w:t>
      </w:r>
      <w:r>
        <w:t xml:space="preserve">Emissions from purchased electricity = 2.0195 kg CO2e/unit (Non-Renewable) + 0.045 kg CO2e/unit (Renewable) =</w:t>
      </w:r>
      <w:r>
        <w:t xml:space="preserve"> </w:t>
      </w:r>
      <w:r>
        <w:rPr>
          <w:bCs/>
          <w:b/>
        </w:rPr>
        <w:t xml:space="preserve">2.0645 kg CO2e/unit</w:t>
      </w:r>
    </w:p>
    <w:bookmarkEnd w:id="35"/>
    <w:bookmarkStart w:id="36" w:name="X92a2eb288c3b9300cdbcb049524f42b9f767111"/>
    <w:p>
      <w:pPr>
        <w:pStyle w:val="Heading3"/>
      </w:pPr>
      <w:r>
        <w:t xml:space="preserve">2.3. Transport Emissions (Scope 3, Categories 4 &amp; 9)</w:t>
      </w:r>
    </w:p>
    <w:p>
      <w:pPr>
        <w:pStyle w:val="FirstParagraph"/>
      </w:pPr>
      <w:r>
        <w:t xml:space="preserve">This covers inbound logistics of materials from Europe to China, and outbound logistics of the finished product to the customer.</w:t>
      </w:r>
    </w:p>
    <w:p>
      <w:pPr>
        <w:numPr>
          <w:ilvl w:val="0"/>
          <w:numId w:val="1009"/>
        </w:numPr>
        <w:pStyle w:val="Compact"/>
      </w:pPr>
      <w:r>
        <w:rPr>
          <w:bCs/>
          <w:b/>
        </w:rPr>
        <w:t xml:space="preserve">Assumed Product Weight:</w:t>
      </w:r>
      <w:r>
        <w:t xml:space="preserve"> </w:t>
      </w:r>
      <w:r>
        <w:t xml:space="preserve">Approximately 0.85 kg (sum of illustrative BOM quantities) + packaging (e.g., 0.15 kg) = 1 kg total per unit for transport purposes.</w:t>
      </w:r>
    </w:p>
    <w:p>
      <w:pPr>
        <w:numPr>
          <w:ilvl w:val="0"/>
          <w:numId w:val="1009"/>
        </w:numPr>
        <w:pStyle w:val="Compact"/>
      </w:pPr>
      <w:r>
        <w:rPr>
          <w:bCs/>
          <w:b/>
        </w:rPr>
        <w:t xml:space="preserve">Ocean Freight (Europe to China):</w:t>
      </w:r>
    </w:p>
    <w:p>
      <w:pPr>
        <w:numPr>
          <w:ilvl w:val="1"/>
          <w:numId w:val="1010"/>
        </w:numPr>
        <w:pStyle w:val="Compact"/>
      </w:pPr>
      <w:r>
        <w:t xml:space="preserve">Distance: 10,000 km</w:t>
      </w:r>
    </w:p>
    <w:p>
      <w:pPr>
        <w:numPr>
          <w:ilvl w:val="1"/>
          <w:numId w:val="1010"/>
        </w:numPr>
        <w:pStyle w:val="Compact"/>
      </w:pPr>
      <w:r>
        <w:t xml:space="preserve">Emission Factor: 0.016 kg CO2e/tonne-km</w:t>
      </w:r>
    </w:p>
    <w:p>
      <w:pPr>
        <w:numPr>
          <w:ilvl w:val="1"/>
          <w:numId w:val="1010"/>
        </w:numPr>
        <w:pStyle w:val="Compact"/>
      </w:pPr>
      <w:r>
        <w:t xml:space="preserve">Emissions: 1 kg (0.001 tonne) * 10,000 km * 0.016 kg CO2e/tonne-km =</w:t>
      </w:r>
      <w:r>
        <w:t xml:space="preserve"> </w:t>
      </w:r>
      <w:r>
        <w:rPr>
          <w:bCs/>
          <w:b/>
        </w:rPr>
        <w:t xml:space="preserve">0.16 kg CO2e/unit</w:t>
      </w:r>
    </w:p>
    <w:p>
      <w:pPr>
        <w:numPr>
          <w:ilvl w:val="0"/>
          <w:numId w:val="1009"/>
        </w:numPr>
        <w:pStyle w:val="Compact"/>
      </w:pPr>
      <w:r>
        <w:rPr>
          <w:bCs/>
          <w:b/>
        </w:rPr>
        <w:t xml:space="preserve">Road Freight (Europe - First Mile):</w:t>
      </w:r>
    </w:p>
    <w:p>
      <w:pPr>
        <w:numPr>
          <w:ilvl w:val="1"/>
          <w:numId w:val="1011"/>
        </w:numPr>
        <w:pStyle w:val="Compact"/>
      </w:pPr>
      <w:r>
        <w:t xml:space="preserve">Distance: 500 km</w:t>
      </w:r>
    </w:p>
    <w:p>
      <w:pPr>
        <w:numPr>
          <w:ilvl w:val="1"/>
          <w:numId w:val="1011"/>
        </w:numPr>
        <w:pStyle w:val="Compact"/>
      </w:pPr>
      <w:r>
        <w:t xml:space="preserve">Emission Factor: 0.09 kg CO2e/tonne-km (representative for heavy-duty truck)</w:t>
      </w:r>
    </w:p>
    <w:p>
      <w:pPr>
        <w:numPr>
          <w:ilvl w:val="1"/>
          <w:numId w:val="1011"/>
        </w:numPr>
        <w:pStyle w:val="Compact"/>
      </w:pPr>
      <w:r>
        <w:t xml:space="preserve">Emissions: 1 kg (0.001 tonne) * 500 km * 0.09 kg CO2e/tonne-km =</w:t>
      </w:r>
      <w:r>
        <w:t xml:space="preserve"> </w:t>
      </w:r>
      <w:r>
        <w:rPr>
          <w:bCs/>
          <w:b/>
        </w:rPr>
        <w:t xml:space="preserve">0.045 kg CO2e/unit</w:t>
      </w:r>
    </w:p>
    <w:p>
      <w:pPr>
        <w:numPr>
          <w:ilvl w:val="0"/>
          <w:numId w:val="1009"/>
        </w:numPr>
        <w:pStyle w:val="Compact"/>
      </w:pPr>
      <w:r>
        <w:rPr>
          <w:bCs/>
          <w:b/>
        </w:rPr>
        <w:t xml:space="preserve">Road Freight (China - Last Mile):</w:t>
      </w:r>
    </w:p>
    <w:p>
      <w:pPr>
        <w:numPr>
          <w:ilvl w:val="1"/>
          <w:numId w:val="1012"/>
        </w:numPr>
        <w:pStyle w:val="Compact"/>
      </w:pPr>
      <w:r>
        <w:t xml:space="preserve">Distance: 200 km</w:t>
      </w:r>
    </w:p>
    <w:p>
      <w:pPr>
        <w:numPr>
          <w:ilvl w:val="1"/>
          <w:numId w:val="1012"/>
        </w:numPr>
        <w:pStyle w:val="Compact"/>
      </w:pPr>
      <w:r>
        <w:t xml:space="preserve">Emission Factor: 0.09 kg CO2e/tonne-km</w:t>
      </w:r>
    </w:p>
    <w:p>
      <w:pPr>
        <w:numPr>
          <w:ilvl w:val="1"/>
          <w:numId w:val="1012"/>
        </w:numPr>
        <w:pStyle w:val="Compact"/>
      </w:pPr>
      <w:r>
        <w:t xml:space="preserve">Emissions: 1 kg (0.001 tonne) * 200 km * 0.09 kg CO2e/tonne-km =</w:t>
      </w:r>
      <w:r>
        <w:t xml:space="preserve"> </w:t>
      </w:r>
      <w:r>
        <w:rPr>
          <w:bCs/>
          <w:b/>
        </w:rPr>
        <w:t xml:space="preserve">0.018 kg CO2e/unit</w:t>
      </w:r>
    </w:p>
    <w:p>
      <w:pPr>
        <w:numPr>
          <w:ilvl w:val="0"/>
          <w:numId w:val="1009"/>
        </w:numPr>
        <w:pStyle w:val="Compact"/>
      </w:pPr>
      <w:r>
        <w:rPr>
          <w:bCs/>
          <w:b/>
        </w:rPr>
        <w:t xml:space="preserve">Total Transport Emissions (Scope 3):</w:t>
      </w:r>
      <w:r>
        <w:t xml:space="preserve"> </w:t>
      </w:r>
      <w:r>
        <w:t xml:space="preserve">0.16 + 0.045 + 0.018 =</w:t>
      </w:r>
      <w:r>
        <w:t xml:space="preserve"> </w:t>
      </w:r>
      <w:r>
        <w:rPr>
          <w:bCs/>
          <w:b/>
        </w:rPr>
        <w:t xml:space="preserve">0.223 kg CO2e/unit</w:t>
      </w:r>
    </w:p>
    <w:bookmarkEnd w:id="36"/>
    <w:bookmarkStart w:id="37" w:name="use-phase-emissions-scope-3-category-11"/>
    <w:p>
      <w:pPr>
        <w:pStyle w:val="Heading3"/>
      </w:pPr>
      <w:r>
        <w:t xml:space="preserve">2.4. Use Phase Emissions (Scope 3, Category 11)</w:t>
      </w:r>
    </w:p>
    <w:p>
      <w:pPr>
        <w:pStyle w:val="FirstParagraph"/>
      </w:pPr>
      <w:r>
        <w:t xml:space="preserve">Emissions from energy consumption during the product\'s operational life.</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10 kWh/year * 5 years = 50 kWh/unit</w:t>
      </w:r>
    </w:p>
    <w:p>
      <w:pPr>
        <w:numPr>
          <w:ilvl w:val="0"/>
          <w:numId w:val="1013"/>
        </w:numPr>
        <w:pStyle w:val="Compact"/>
      </w:pPr>
      <w:r>
        <w:rPr>
          <w:bCs/>
          <w:b/>
        </w:rPr>
        <w:t xml:space="preserve">Average Grid Emission Factor (end-user location assumed similar to production for simplicity, or specific country grid if known):</w:t>
      </w:r>
      <w:r>
        <w:t xml:space="preserve"> </w:t>
      </w:r>
      <w:r>
        <w:t xml:space="preserve">Using China\'s grid average of 0.577 kg CO2e/kWh for calculation.</w:t>
      </w:r>
    </w:p>
    <w:p>
      <w:pPr>
        <w:numPr>
          <w:ilvl w:val="0"/>
          <w:numId w:val="1013"/>
        </w:numPr>
        <w:pStyle w:val="Compact"/>
      </w:pPr>
      <w:r>
        <w:rPr>
          <w:bCs/>
          <w:b/>
        </w:rPr>
        <w:t xml:space="preserve">Emissions:</w:t>
      </w:r>
      <w:r>
        <w:t xml:space="preserve"> </w:t>
      </w:r>
      <w:r>
        <w:t xml:space="preserve">50 kWh/unit * 0.577 kg CO2e/kWh =</w:t>
      </w:r>
      <w:r>
        <w:t xml:space="preserve"> </w:t>
      </w:r>
      <w:r>
        <w:rPr>
          <w:bCs/>
          <w:b/>
        </w:rPr>
        <w:t xml:space="preserve">28.85 kg CO2e/unit</w:t>
      </w:r>
    </w:p>
    <w:bookmarkEnd w:id="37"/>
    <w:bookmarkStart w:id="38" w:name="X5cc39e317042999ace0697d96b75ce81d37f746"/>
    <w:p>
      <w:pPr>
        <w:pStyle w:val="Heading3"/>
      </w:pPr>
      <w:r>
        <w:t xml:space="preserve">2.5. End-of-Life (EoL) Emissions / Avoided Emissions (Scope 3, Category 12)</w:t>
      </w:r>
    </w:p>
    <w:p>
      <w:pPr>
        <w:pStyle w:val="FirstParagraph"/>
      </w:pPr>
      <w:r>
        <w:t xml:space="preserve">Emissions from disposal and potential avoided emissions from recycling or take-back programs.</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Product Weight:</w:t>
      </w:r>
      <w:r>
        <w:t xml:space="preserve"> </w:t>
      </w:r>
      <w:r>
        <w:t xml:space="preserve">1 kg (for end-of-life assessment)</w:t>
      </w:r>
    </w:p>
    <w:p>
      <w:pPr>
        <w:numPr>
          <w:ilvl w:val="0"/>
          <w:numId w:val="1014"/>
        </w:numPr>
        <w:pStyle w:val="Compact"/>
      </w:pPr>
      <w:r>
        <w:rPr>
          <w:bCs/>
          <w:b/>
        </w:rPr>
        <w:t xml:space="preserve">Material for Recycling:</w:t>
      </w:r>
      <w:r>
        <w:t xml:space="preserve"> </w:t>
      </w:r>
      <w:r>
        <w:t xml:space="preserve">1 kg * 0.70 = 0.7 kg</w:t>
      </w:r>
    </w:p>
    <w:p>
      <w:pPr>
        <w:numPr>
          <w:ilvl w:val="0"/>
          <w:numId w:val="1014"/>
        </w:numPr>
        <w:pStyle w:val="Compact"/>
      </w:pPr>
      <w:r>
        <w:rPr>
          <w:bCs/>
          <w:b/>
        </w:rPr>
        <w:t xml:space="preserve">Material for Disposal:</w:t>
      </w:r>
      <w:r>
        <w:t xml:space="preserve"> </w:t>
      </w:r>
      <w:r>
        <w:t xml:space="preserve">1 kg * 0.30 = 0.3 kg</w:t>
      </w:r>
    </w:p>
    <w:p>
      <w:pPr>
        <w:numPr>
          <w:ilvl w:val="0"/>
          <w:numId w:val="1014"/>
        </w:numPr>
        <w:pStyle w:val="Compact"/>
      </w:pPr>
      <w:r>
        <w:rPr>
          <w:bCs/>
          <w:b/>
        </w:rPr>
        <w:t xml:space="preserve">Avoided Emissions (Recycling Offset):</w:t>
      </w:r>
      <w:r>
        <w:t xml:space="preserve"> </w:t>
      </w:r>
      <w:r>
        <w:t xml:space="preserve">Assumed 2.0 kg CO2e/kg for mixed materials (e.g., recycling aluminum saves more, plastic less, but overall positive impact).</w:t>
      </w:r>
    </w:p>
    <w:p>
      <w:pPr>
        <w:numPr>
          <w:ilvl w:val="1"/>
          <w:numId w:val="1015"/>
        </w:numPr>
        <w:pStyle w:val="Compact"/>
      </w:pPr>
      <w:r>
        <w:t xml:space="preserve">Avoided Emissions: 0.7 kg * (-2.0 kg CO2e/kg) = -1.4 kg CO2e/unit</w:t>
      </w:r>
    </w:p>
    <w:p>
      <w:pPr>
        <w:numPr>
          <w:ilvl w:val="0"/>
          <w:numId w:val="1014"/>
        </w:numPr>
        <w:pStyle w:val="Compact"/>
      </w:pPr>
      <w:r>
        <w:rPr>
          <w:bCs/>
          <w:b/>
        </w:rPr>
        <w:t xml:space="preserve">Disposal Emissions (Landfill/Incineration):</w:t>
      </w:r>
      <w:r>
        <w:t xml:space="preserve"> </w:t>
      </w:r>
      <w:r>
        <w:t xml:space="preserve">Assumed 1.0 kg CO2e/kg for mixed waste.</w:t>
      </w:r>
    </w:p>
    <w:p>
      <w:pPr>
        <w:numPr>
          <w:ilvl w:val="1"/>
          <w:numId w:val="1016"/>
        </w:numPr>
        <w:pStyle w:val="Compact"/>
      </w:pPr>
      <w:r>
        <w:t xml:space="preserve">Disposal Emissions: 0.3 kg * 1.0 kg CO2e/kg = 0.3 kg CO2e/unit</w:t>
      </w:r>
    </w:p>
    <w:p>
      <w:pPr>
        <w:numPr>
          <w:ilvl w:val="0"/>
          <w:numId w:val="1014"/>
        </w:numPr>
        <w:pStyle w:val="Compact"/>
      </w:pPr>
      <w:r>
        <w:rPr>
          <w:bCs/>
          <w:b/>
        </w:rPr>
        <w:t xml:space="preserve">Circular/Take-back Programs:</w:t>
      </w:r>
      <w:r>
        <w:t xml:space="preserve"> </w:t>
      </w:r>
      <w:r>
        <w:rPr>
          <w:bCs/>
          <w:b/>
        </w:rPr>
        <w:t xml:space="preserve">swmlqmhdvu</w:t>
      </w:r>
      <w:r>
        <w:t xml:space="preserve"> </w:t>
      </w:r>
      <w:r>
        <w:t xml:space="preserve">(Product take-back program established with local recycling partners). This helps achieve the recyclability percentage and ensures materials are handled appropriately.</w:t>
      </w:r>
    </w:p>
    <w:p>
      <w:pPr>
        <w:numPr>
          <w:ilvl w:val="0"/>
          <w:numId w:val="1014"/>
        </w:numPr>
        <w:pStyle w:val="Compact"/>
      </w:pPr>
      <w:r>
        <w:rPr>
          <w:bCs/>
          <w:b/>
        </w:rPr>
        <w:t xml:space="preserve">Net EoL Emissions (Scope 3):</w:t>
      </w:r>
      <w:r>
        <w:t xml:space="preserve"> </w:t>
      </w:r>
      <w:r>
        <w:t xml:space="preserve">-1.4 + 0.3 =</w:t>
      </w:r>
      <w:r>
        <w:t xml:space="preserve"> </w:t>
      </w:r>
      <w:r>
        <w:rPr>
          <w:bCs/>
          <w:b/>
        </w:rPr>
        <w:t xml:space="preserve">-1.1 kg CO2e/unit</w:t>
      </w:r>
      <w:r>
        <w:t xml:space="preserve"> </w:t>
      </w:r>
      <w:r>
        <w:t xml:space="preserve">(Net saving due to high recyclability).</w:t>
      </w:r>
    </w:p>
    <w:p>
      <w:r>
        <w:pict>
          <v:rect style="width:0;height:1.5pt" o:hralign="center" o:hrstd="t" o:hr="t"/>
        </w:pict>
      </w:r>
    </w:p>
    <w:bookmarkEnd w:id="38"/>
    <w:bookmarkEnd w:id="39"/>
    <w:bookmarkStart w:id="40" w:name="Xe4709d6b83a78c748713aa9b36e00c31483a848"/>
    <w:p>
      <w:pPr>
        <w:pStyle w:val="Heading2"/>
      </w:pPr>
      <w:r>
        <w:t xml:space="preserve">3. Total Product Carbon Footprint (PCF) for wvjfjkesow</w:t>
      </w:r>
    </w:p>
    <w:p>
      <w:pPr>
        <w:pStyle w:val="FirstParagraph"/>
      </w:pPr>
      <w:r>
        <w:t xml:space="preserve">The total PCF is the sum of emissions across all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r>
      <w:tr>
        <w:tc>
          <w:tcPr/>
          <w:p>
            <w:pPr>
              <w:pStyle w:val="Compact"/>
              <w:jc w:val="left"/>
            </w:pPr>
            <w:r>
              <w:t xml:space="preserve">Upstream Materials (Purchased Goods &amp; Services)</w:t>
            </w:r>
          </w:p>
        </w:tc>
        <w:tc>
          <w:tcPr/>
          <w:p>
            <w:pPr>
              <w:pStyle w:val="Compact"/>
              <w:jc w:val="left"/>
            </w:pPr>
            <w:r>
              <w:t xml:space="preserve">Scope 3</w:t>
            </w:r>
          </w:p>
        </w:tc>
        <w:tc>
          <w:tcPr/>
          <w:p>
            <w:pPr>
              <w:pStyle w:val="Compact"/>
              <w:jc w:val="left"/>
            </w:pPr>
            <w:r>
              <w:t xml:space="preserve">6.23</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2.0645</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0.223</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28.85</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-1.10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36.2675</w:t>
            </w:r>
          </w:p>
        </w:tc>
      </w:tr>
    </w:tbl>
    <w:p>
      <w:r>
        <w:pict>
          <v:rect style="width:0;height:1.5pt" o:hralign="center" o:hrstd="t" o:hr="t"/>
        </w:pict>
      </w:r>
    </w:p>
    <w:bookmarkEnd w:id="40"/>
    <w:bookmarkStart w:id="44" w:name="review-reporting"/>
    <w:p>
      <w:pPr>
        <w:pStyle w:val="Heading2"/>
      </w:pPr>
      <w:r>
        <w:t xml:space="preserve">4. Review &amp; Reporting</w:t>
      </w:r>
    </w:p>
    <w:bookmarkStart w:id="41" w:name="emission-hotspots"/>
    <w:p>
      <w:pPr>
        <w:pStyle w:val="Heading3"/>
      </w:pPr>
      <w:r>
        <w:t xml:space="preserve">4.1. Emission Hotspots</w:t>
      </w:r>
    </w:p>
    <w:p>
      <w:pPr>
        <w:pStyle w:val="FirstParagraph"/>
      </w:pPr>
      <w:r>
        <w:t xml:space="preserve">The primary emission hotspot for</w:t>
      </w:r>
      <w:r>
        <w:t xml:space="preserve"> </w:t>
      </w:r>
      <w:r>
        <w:rPr>
          <w:bCs/>
          <w:b/>
        </w:rPr>
        <w:t xml:space="preserve">wvjfjkesow</w:t>
      </w:r>
      <w:r>
        <w:t xml:space="preserve"> </w:t>
      </w:r>
      <w:r>
        <w:t xml:space="preserve">is clearly identified in the **Use Phase**, contributing approximately 79.5% of the total PCF. This is driven by the</w:t>
      </w:r>
      <w:r>
        <w:t xml:space="preserve"> </w:t>
      </w:r>
      <w:r>
        <w:rPr>
          <w:bCs/>
          <w:b/>
        </w:rPr>
        <w:t xml:space="preserve">rmyxmzosqo</w:t>
      </w:r>
      <w:r>
        <w:t xml:space="preserve"> </w:t>
      </w:r>
      <w:r>
        <w:t xml:space="preserve">(10 kWh/year) energy consumption over its</w:t>
      </w:r>
      <w:r>
        <w:t xml:space="preserve"> </w:t>
      </w:r>
      <w:r>
        <w:rPr>
          <w:bCs/>
          <w:b/>
        </w:rPr>
        <w:t xml:space="preserve">udxujsgljd</w:t>
      </w:r>
      <w:r>
        <w:t xml:space="preserve"> </w:t>
      </w:r>
      <w:r>
        <w:t xml:space="preserve">(5-year) lifespan. Upstream materials, particularly the illustrative Aluminum Casing, also represent a significant portion (17.2%) of the remaining emissions. Manufacturing energy is a smaller but notable contributor (5.7%). Transport emissions are relatively minor, and the End-of-Life phase demonstrates a net reduction due to high recyclability.</w:t>
      </w:r>
    </w:p>
    <w:bookmarkEnd w:id="41"/>
    <w:bookmarkStart w:id="42" w:name="reliability-and-data-sources"/>
    <w:p>
      <w:pPr>
        <w:pStyle w:val="Heading3"/>
      </w:pPr>
      <w:r>
        <w:t xml:space="preserve">4.2. Reliability and Data Sources</w:t>
      </w:r>
    </w:p>
    <w:p>
      <w:pPr>
        <w:pStyle w:val="FirstParagraph"/>
      </w:pPr>
      <w:r>
        <w:t xml:space="preserve">The calculations utilize a combination of provided primary data (e.g., energy intensity, lifespan, recyclability) and secondary emission factors from industry-standard databases such as DEFRA and Ecoinvent where specific data was not available or was illustrative. For electricity, China\'s national grid average has been used. Transport emission factors are based on common values for specific modes. Material emission factors are illustrative but represent typical values for the categories. The analysis acknowledges that the accuracy can be further enhanced with more granular, product-specific primary data across the entire supply chain, particularly for complex electronic components and land-use impacts of raw materials where the LSR Standard would be highly relevant.</w:t>
      </w:r>
    </w:p>
    <w:bookmarkEnd w:id="42"/>
    <w:bookmarkStart w:id="43" w:name="ghg-protocol-scope-3-compliance"/>
    <w:p>
      <w:pPr>
        <w:pStyle w:val="Heading3"/>
      </w:pPr>
      <w:r>
        <w:t xml:space="preserve">4.3. GHG Protocol Scope 3 Compliance</w:t>
      </w:r>
    </w:p>
    <w:p>
      <w:pPr>
        <w:pStyle w:val="FirstParagraph"/>
      </w:pPr>
      <w:r>
        <w:t xml:space="preserve">This report has diligently attempted to cover all relevant Scope 3 categories, aiming for the 95% coverage threshold as mandated by the 2026 GHG Protocol revisions. The comprehensive inclusion of upstream materials, transport, use phase, and end-of-life impacts demonstrates a robust approach to identifying and quantifying value chain emissions.</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numPr>
          <w:ilvl w:val="0"/>
          <w:numId w:val="1017"/>
        </w:numPr>
        <w:pStyle w:val="Compact"/>
      </w:pPr>
      <w:r>
        <w:rPr>
          <w:bCs/>
          <w:b/>
        </w:rPr>
        <w:t xml:space="preserve">Optimize Use Phase Efficiency:</w:t>
      </w:r>
      <w:r>
        <w:t xml:space="preserve"> </w:t>
      </w:r>
      <w:r>
        <w:t xml:space="preserve">Given the significant contribution of the use phase, focus on reducing the product\'s energy consumption (</w:t>
      </w:r>
      <w:r>
        <w:rPr>
          <w:bCs/>
          <w:b/>
        </w:rPr>
        <w:t xml:space="preserve">rmyxmzosqo</w:t>
      </w:r>
      <w:r>
        <w:t xml:space="preserve">) through design improvements, energy-efficient components, and user guidance. Exploring lower-carbon energy grids in target markets for the use phase would also be beneficial.</w:t>
      </w:r>
    </w:p>
    <w:p>
      <w:pPr>
        <w:numPr>
          <w:ilvl w:val="0"/>
          <w:numId w:val="1017"/>
        </w:numPr>
        <w:pStyle w:val="Compact"/>
      </w:pPr>
      <w:r>
        <w:rPr>
          <w:bCs/>
          <w:b/>
        </w:rPr>
        <w:t xml:space="preserve">Material Optimization:</w:t>
      </w:r>
      <w:r>
        <w:t xml:space="preserve"> </w:t>
      </w:r>
      <w:r>
        <w:t xml:space="preserve">Investigate opportunities to reduce the quantity of high-impact materials (e.g., aluminum) or substitute them with lower-carbon alternatives (e.g., recycled aluminum, bio-based plastics).</w:t>
      </w:r>
    </w:p>
    <w:p>
      <w:pPr>
        <w:numPr>
          <w:ilvl w:val="0"/>
          <w:numId w:val="1017"/>
        </w:numPr>
        <w:pStyle w:val="Compact"/>
      </w:pPr>
      <w:r>
        <w:rPr>
          <w:bCs/>
          <w:b/>
        </w:rPr>
        <w:t xml:space="preserve">Increase Renewable Energy Sourcing:</w:t>
      </w:r>
      <w:r>
        <w:t xml:space="preserve"> </w:t>
      </w:r>
      <w:r>
        <w:t xml:space="preserve">While 30% renewable energy usage (</w:t>
      </w:r>
      <w:r>
        <w:rPr>
          <w:bCs/>
          <w:b/>
        </w:rPr>
        <w:t xml:space="preserve">ixorwdfdwm</w:t>
      </w:r>
      <w:r>
        <w:t xml:space="preserve">) is a good start, increasing this percentage for manufacturing operations in China, or purchasing high-quality renewable energy credits, can further reduce Scope 2 emissions.</w:t>
      </w:r>
    </w:p>
    <w:p>
      <w:pPr>
        <w:numPr>
          <w:ilvl w:val="0"/>
          <w:numId w:val="1017"/>
        </w:numPr>
        <w:pStyle w:val="Compact"/>
      </w:pPr>
      <w:r>
        <w:rPr>
          <w:bCs/>
          <w:b/>
        </w:rPr>
        <w:t xml:space="preserve">Strengthen Circularity:</w:t>
      </w:r>
      <w:r>
        <w:t xml:space="preserve"> </w:t>
      </w:r>
      <w:r>
        <w:t xml:space="preserve">Continue to enhance the</w:t>
      </w:r>
      <w:r>
        <w:t xml:space="preserve"> </w:t>
      </w:r>
      <w:r>
        <w:rPr>
          <w:bCs/>
          <w:b/>
        </w:rPr>
        <w:t xml:space="preserve">swmlqmhdvu</w:t>
      </w:r>
      <w:r>
        <w:t xml:space="preserve"> </w:t>
      </w:r>
      <w:r>
        <w:t xml:space="preserve">(Product take-back program) and explore design for disassembly to further improve the</w:t>
      </w:r>
      <w:r>
        <w:t xml:space="preserve"> </w:t>
      </w:r>
      <w:r>
        <w:rPr>
          <w:bCs/>
          <w:b/>
        </w:rPr>
        <w:t xml:space="preserve">oqjszfyeph</w:t>
      </w:r>
      <w:r>
        <w:t xml:space="preserve"> </w:t>
      </w:r>
      <w:r>
        <w:t xml:space="preserve">(70%) recyclability and enable higher-value material recovery.</w:t>
      </w:r>
    </w:p>
    <w:p>
      <w:pPr>
        <w:numPr>
          <w:ilvl w:val="0"/>
          <w:numId w:val="1017"/>
        </w:numPr>
        <w:pStyle w:val="Compact"/>
      </w:pPr>
      <w:r>
        <w:rPr>
          <w:bCs/>
          <w:b/>
        </w:rPr>
        <w:t xml:space="preserve">Supply Chain Engagement:</w:t>
      </w:r>
      <w:r>
        <w:t xml:space="preserve"> </w:t>
      </w:r>
      <w:r>
        <w:t xml:space="preserve">Work with key suppliers to obtain more accurate primary data for material production and to identify opportunities for emissions reductions directly within their operations. This aligns with the push for mandatory data disaggregation in Scope 3 reporting.</w:t>
      </w:r>
    </w:p>
    <w:p>
      <w:r>
        <w:pict>
          <v:rect style="width:0;height:1.5pt" o:hralign="center" o:hrstd="t" o:hr="t"/>
        </w:pict>
      </w:r>
    </w:p>
    <w:p>
      <w:pPr>
        <w:pStyle w:val="FirstParagraph"/>
      </w:pPr>
      <w:r>
        <w:t xml:space="preserve">Confidential - Internal Use Only | Page</w:t>
      </w:r>
      <w:r>
        <w:t xml:space="preserve"> </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wvjfjkesow</dc:title>
  <dc:creator/>
  <dc:description>Detailed Product Carbon Footprint (PCF) analysis report for wvjfjkesow, conducted by Senior Sustainability Consultant qqqxjjdfkz for dlyuyvddff, adhering to GHG Protocol standards and 2026 updates.</dc:description>
  <dc:language>en</dc:language>
  <cp:keywords/>
  <dcterms:created xsi:type="dcterms:W3CDTF">2026-05-30T14:53:22Z</dcterms:created>
  <dcterms:modified xsi:type="dcterms:W3CDTF">2026-05-30T14:53:22Z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