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wviqrqvqtn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wviqrqvqtn</w:t>
      </w:r>
    </w:p>
    <w:p>
      <w:pPr>
        <w:pStyle w:val="BodyText"/>
      </w:pPr>
      <w:r>
        <w:rPr>
          <w:bCs/>
          <w:b/>
        </w:rPr>
        <w:t xml:space="preserve">Company Name:</w:t>
      </w:r>
      <w:r>
        <w:t xml:space="preserve"> </w:t>
      </w:r>
      <w:r>
        <w:t xml:space="preserve">iohirqxhrz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rhuoyvitej</w:t>
      </w:r>
    </w:p>
    <w:p>
      <w:pPr>
        <w:pStyle w:val="BodyText"/>
      </w:pPr>
      <w:r>
        <w:t xml:space="preserve">Disclaimer: This report is generated based on available data and industry standards.</w:t>
      </w:r>
      <w:r>
        <w:t xml:space="preserve"> </w:t>
      </w:r>
      <w:r>
        <w:t xml:space="preserve">The calculations rely on illustrative data provided for specific parameters where exact numerical inputs were indicated by placeholders.</w:t>
      </w:r>
    </w:p>
    <w:bookmarkEnd w:id="20"/>
    <w:bookmarkStart w:id="21" w:name="X815f49ae0b5233e6861a7f7f95ac1d9d76d99a1"/>
    <w:p>
      <w:pPr>
        <w:pStyle w:val="Heading1"/>
      </w:pPr>
      <w:r>
        <w:t xml:space="preserve">Product Carbon Footprint Report: wviqrqvqtn</w:t>
      </w:r>
    </w:p>
    <w:p>
      <w:pPr>
        <w:pStyle w:val="FirstParagraph"/>
      </w:pPr>
      <w:r>
        <w:t xml:space="preserve">Generated Date: June 3,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"wviqrqvqtn," manufactured by iohirqxhrz. The analysis was conducted by rhuoyvitej, a Senior Sustainability Consultant specializing in GHG Protocol. Adhering strictly to the GHG Protocol, this assessment quantifies greenhouse gas (GHG) emissions across the product\'s entire lifecycle, from raw material acquisition to end-of-life. Special attention has been given to the 2026 Land Sector and Removals (LSR) Standard update and ensuring comprehensive Scope 3 coverage. The aim is to identify major emission hotspots and provide actionable insights for decarbonization.</w:t>
      </w:r>
    </w:p>
    <w:p>
      <w:r>
        <w:pict>
          <v:rect style="width:0;height:1.5pt" o:hralign="center" o:hrstd="t" o:hr="t"/>
        </w:pict>
      </w:r>
    </w:p>
    <w:bookmarkEnd w:id="22"/>
    <w:bookmarkStart w:id="25" w:name="methodology-and-scope-definition"/>
    <w:p>
      <w:pPr>
        <w:pStyle w:val="Heading2"/>
      </w:pPr>
      <w:r>
        <w:t xml:space="preserve">2. Methodology and Scope Definition</w:t>
      </w:r>
    </w:p>
    <w:p>
      <w:pPr>
        <w:pStyle w:val="FirstParagraph"/>
      </w:pPr>
      <w:r>
        <w:t xml:space="preserve">The Product Carbon Footprint (PCF) for wviqrqvqtn has been calculated following a comprehensive five-step methodology, fully aligned with the Greenhouse Gas Protocol (GHG Protocol).</w:t>
      </w:r>
    </w:p>
    <w:bookmarkStart w:id="23" w:name="accounting-standard"/>
    <w:p>
      <w:pPr>
        <w:pStyle w:val="Heading3"/>
      </w:pPr>
      <w:r>
        <w:t xml:space="preserve">2.1. Accounting Standard</w:t>
      </w:r>
    </w:p>
    <w:p>
      <w:pPr>
        <w:numPr>
          <w:ilvl w:val="0"/>
          <w:numId w:val="1001"/>
        </w:numPr>
        <w:pStyle w:val="Compact"/>
      </w:pPr>
      <w:r>
        <w:rPr>
          <w:bCs/>
          <w:b/>
        </w:rPr>
        <w:t xml:space="preserve">GHG Protocol:</w:t>
      </w:r>
      <w:r>
        <w:t xml:space="preserve"> </w:t>
      </w:r>
      <w:r>
        <w:t xml:space="preserve">All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2026 LSR Update:</w:t>
      </w:r>
      <w:r>
        <w:t xml:space="preserve"> </w:t>
      </w:r>
      <w:r>
        <w:t xml:space="preserve">The Land Sector and Removals (LSR) Standard, released January 30, 2026, and effective January 1, 2027, has been considered. While full implementation guidance is expected in Q2 2026, this report acknowledges its requirements for accounting for land sector emissions and CO2 removals, particularly concerning biogenic products and land use change.</w:t>
      </w:r>
    </w:p>
    <w:p>
      <w:pPr>
        <w:numPr>
          <w:ilvl w:val="0"/>
          <w:numId w:val="1001"/>
        </w:numPr>
        <w:pStyle w:val="Compact"/>
      </w:pPr>
      <w:r>
        <w:rPr>
          <w:bCs/>
          <w:b/>
        </w:rPr>
        <w:t xml:space="preserve">Scope 3 Compliance:</w:t>
      </w:r>
      <w:r>
        <w:t xml:space="preserve"> </w:t>
      </w:r>
      <w:r>
        <w:t xml:space="preserve">Every effort has been made to ensure at least 95% coverage for Scope 3 reporting, as per 2026 requirements, by including upstream and downstream activities such as material production, transportation, use-phase energy consumption, and end-of-life treatment.</w:t>
      </w:r>
    </w:p>
    <w:bookmarkEnd w:id="23"/>
    <w:bookmarkStart w:id="24" w:name="scope-definition"/>
    <w:p>
      <w:pPr>
        <w:pStyle w:val="Heading3"/>
      </w:pPr>
      <w:r>
        <w:t xml:space="preserve">2.2. Scope Definition</w:t>
      </w:r>
    </w:p>
    <w:p>
      <w:pPr>
        <w:numPr>
          <w:ilvl w:val="0"/>
          <w:numId w:val="1002"/>
        </w:numPr>
        <w:pStyle w:val="Compact"/>
      </w:pPr>
      <w:r>
        <w:rPr>
          <w:bCs/>
          <w:b/>
        </w:rPr>
        <w:t xml:space="preserve">Functional Unit:</w:t>
      </w:r>
      <w:r>
        <w:t xml:space="preserve"> </w:t>
      </w:r>
      <w:r>
        <w:t xml:space="preserve">1.0 unit of wviqrqvqtn.</w:t>
      </w:r>
    </w:p>
    <w:p>
      <w:pPr>
        <w:numPr>
          <w:ilvl w:val="0"/>
          <w:numId w:val="1002"/>
        </w:numPr>
        <w:pStyle w:val="Compact"/>
      </w:pPr>
      <w:r>
        <w:rPr>
          <w:bCs/>
          <w:b/>
        </w:rPr>
        <w:t xml:space="preserve">System Boundary:</w:t>
      </w:r>
      <w:r>
        <w:t xml:space="preserve"> </w:t>
      </w:r>
      <w:r>
        <w:t xml:space="preserve">Cradle-to-grave, encompassing raw material extraction, manufacturing, distribution, use, and end-of-life. However, for detailed production data, a "factory_gate" perspective is emphasized for the manufacturing phase.</w:t>
      </w:r>
    </w:p>
    <w:p>
      <w:pPr>
        <w:numPr>
          <w:ilvl w:val="0"/>
          <w:numId w:val="1002"/>
        </w:numPr>
        <w:pStyle w:val="Compact"/>
      </w:pPr>
      <w:r>
        <w:rPr>
          <w:bCs/>
          <w:b/>
        </w:rPr>
        <w:t xml:space="preserve">Geographic Scope:</w:t>
      </w:r>
      <w:r>
        <w:t xml:space="preserve"> </w:t>
      </w:r>
      <w:r>
        <w:t xml:space="preserve">Final Production Country: China, with a Supply Chain Focus on Europe for downstream distribution.</w:t>
      </w:r>
    </w:p>
    <w:p>
      <w:pPr>
        <w:numPr>
          <w:ilvl w:val="0"/>
          <w:numId w:val="1002"/>
        </w:numPr>
        <w:pStyle w:val="Compact"/>
      </w:pPr>
      <w:r>
        <w:rPr>
          <w:bCs/>
          <w:b/>
        </w:rPr>
        <w:t xml:space="preserve">Allocation:</w:t>
      </w:r>
      <w:r>
        <w:t xml:space="preserve"> </w:t>
      </w:r>
      <w:r>
        <w:t xml:space="preserve">Emissions are allocated directly to the functional unit. For shared processes (e.g., transport, manufacturing facilities), economic allocation or mass allocation is applied where appropriate, though direct allocation is preferred with primary data.</w:t>
      </w:r>
    </w:p>
    <w:p>
      <w:r>
        <w:pict>
          <v:rect style="width:0;height:1.5pt" o:hralign="center" o:hrstd="t" o:hr="t"/>
        </w:pict>
      </w:r>
    </w:p>
    <w:bookmarkEnd w:id="24"/>
    <w:bookmarkEnd w:id="25"/>
    <w:bookmarkStart w:id="31" w:name="lifecycle-mapping-and-data-collection"/>
    <w:p>
      <w:pPr>
        <w:pStyle w:val="Heading2"/>
      </w:pPr>
      <w:r>
        <w:t xml:space="preserve">3. Lifecycle Mapping and Data Collection</w:t>
      </w:r>
    </w:p>
    <w:p>
      <w:pPr>
        <w:pStyle w:val="FirstParagraph"/>
      </w:pPr>
      <w:r>
        <w:t xml:space="preserve">The lifecycle of wviqrqvqtn is mapped across key stages to ensure a holistic assessment of its environmental impact. Data collection integrates both primary and secondary data points, emphasizing high-accuracy material and energy inputs.</w:t>
      </w:r>
    </w:p>
    <w:bookmarkStart w:id="26" w:name="detailed-bill-of-materials-bom-analysis"/>
    <w:p>
      <w:pPr>
        <w:pStyle w:val="Heading3"/>
      </w:pPr>
      <w:r>
        <w:t xml:space="preserve">3.1. Detailed Bill of Materials (BOM) Analysis</w:t>
      </w:r>
    </w:p>
    <w:p>
      <w:pPr>
        <w:pStyle w:val="FirstParagraph"/>
      </w:pPr>
      <w:r>
        <w:t xml:space="preserve">The material impact of wviqrqvqtn is calculated using the provided Detailed Bill of Materials (BOM) represented by the placeholder `vziodiie`. For the purpose of this analysis, an illustrative BOM adhering to the specified format has been utilized to demonstrate the calculation methodology. The `Total Carbon` for each item is derived from its quantity and the specified Emission Factor.</w:t>
      </w:r>
    </w:p>
    <w:p>
      <w:pPr>
        <w:pStyle w:val="BodyText"/>
      </w:pPr>
      <w:r>
        <w:rPr>
          <w:iCs/>
          <w:i/>
        </w:rPr>
        <w:t xml:space="preserve">Note: The following BOM data and associated emission factors are illustrative, based on typical industry values where direct numerical inputs for `vziodiie` were not provided, to demonstrate the calculation method.</w:t>
      </w:r>
    </w:p>
    <w:tbl>
      <w:tblPr>
        <w:tblStyle w:val="Table"/>
        <w:tblW w:type="auto" w:w="0"/>
        <w:tblLook w:firstRow="1" w:lastRow="1" w:firstColumn="0" w:lastColumn="0" w:noHBand="0" w:noVBand="0" w:val="0020"/>
        <w:jc w:val="start"/>
      </w:tblPr>
      <w:tblGrid>
        <w:gridCol w:w="880"/>
        <w:gridCol w:w="880"/>
        <w:gridCol w:w="880"/>
        <w:gridCol w:w="880"/>
        <w:gridCol w:w="880"/>
        <w:gridCol w:w="880"/>
        <w:gridCol w:w="880"/>
        <w:gridCol w:w="880"/>
        <w:gridCol w:w="88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c>
          <w:tcPr/>
          <w:p>
            <w:pPr>
              <w:pStyle w:val="Compact"/>
              <w:jc w:val="left"/>
            </w:pPr>
            <w:r>
              <w:t xml:space="preserve">Scope 3 Category</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Primary</w:t>
            </w:r>
          </w:p>
        </w:tc>
        <w:tc>
          <w:tcPr/>
          <w:p>
            <w:pPr>
              <w:pStyle w:val="Compact"/>
              <w:jc w:val="left"/>
            </w:pPr>
            <w:r>
              <w:t xml:space="preserve">0.50</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c>
          <w:tcPr/>
          <w:p>
            <w:pPr>
              <w:pStyle w:val="Compact"/>
              <w:jc w:val="left"/>
            </w:pPr>
            <w:r>
              <w:t xml:space="preserve">Upstream (Category 1)</w:t>
            </w:r>
          </w:p>
        </w:tc>
      </w:tr>
      <w:tr>
        <w:tc>
          <w:tcPr/>
          <w:p>
            <w:pPr>
              <w:pStyle w:val="Compact"/>
              <w:jc w:val="left"/>
            </w:pPr>
            <w:r>
              <w:t xml:space="preserve">M002</w:t>
            </w:r>
          </w:p>
        </w:tc>
        <w:tc>
          <w:tcPr/>
          <w:p>
            <w:pPr>
              <w:pStyle w:val="Compact"/>
              <w:jc w:val="left"/>
            </w:pPr>
            <w:r>
              <w:t xml:space="preserve">Recycled Plastic Enclosure (LDPE)</w:t>
            </w:r>
          </w:p>
        </w:tc>
        <w:tc>
          <w:tcPr/>
          <w:p>
            <w:pPr>
              <w:pStyle w:val="Compact"/>
              <w:jc w:val="left"/>
            </w:pPr>
            <w:r>
              <w:t xml:space="preserve">Plastic</w:t>
            </w:r>
          </w:p>
        </w:tc>
        <w:tc>
          <w:tcPr/>
          <w:p>
            <w:pPr>
              <w:pStyle w:val="Compact"/>
              <w:jc w:val="left"/>
            </w:pPr>
            <w:r>
              <w:t xml:space="preserve">Injection Molding, Recycled</w:t>
            </w:r>
          </w:p>
        </w:tc>
        <w:tc>
          <w:tcPr/>
          <w:p>
            <w:pPr>
              <w:pStyle w:val="Compact"/>
              <w:jc w:val="left"/>
            </w:pPr>
            <w:r>
              <w:t xml:space="preserve">0.20</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c>
          <w:tcPr/>
          <w:p>
            <w:pPr>
              <w:pStyle w:val="Compact"/>
              <w:jc w:val="left"/>
            </w:pPr>
            <w:r>
              <w:t xml:space="preserve">Upstream (Category 1)</w:t>
            </w:r>
          </w:p>
        </w:tc>
      </w:tr>
      <w:tr>
        <w:tc>
          <w:tcPr/>
          <w:p>
            <w:pPr>
              <w:pStyle w:val="Compact"/>
              <w:jc w:val="left"/>
            </w:pPr>
            <w:r>
              <w:t xml:space="preserve">M003</w:t>
            </w:r>
          </w:p>
        </w:tc>
        <w:tc>
          <w:tcPr/>
          <w:p>
            <w:pPr>
              <w:pStyle w:val="Compact"/>
              <w:jc w:val="left"/>
            </w:pPr>
            <w:r>
              <w:t xml:space="preserve">Circuit Board Assembly (PCBA)</w:t>
            </w:r>
          </w:p>
        </w:tc>
        <w:tc>
          <w:tcPr/>
          <w:p>
            <w:pPr>
              <w:pStyle w:val="Compact"/>
              <w:jc w:val="left"/>
            </w:pPr>
            <w:r>
              <w:t xml:space="preserve">Electronics</w:t>
            </w:r>
          </w:p>
        </w:tc>
        <w:tc>
          <w:tcPr/>
          <w:p>
            <w:pPr>
              <w:pStyle w:val="Compact"/>
              <w:jc w:val="left"/>
            </w:pPr>
            <w:r>
              <w:t xml:space="preserve">Component 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c>
          <w:tcPr/>
          <w:p>
            <w:pPr>
              <w:pStyle w:val="Compact"/>
              <w:jc w:val="left"/>
            </w:pPr>
            <w:r>
              <w:t xml:space="preserve">Upstream (Category 1)</w:t>
            </w:r>
          </w:p>
        </w:tc>
      </w:tr>
      <w:tr>
        <w:tc>
          <w:tcPr/>
          <w:p>
            <w:pPr>
              <w:pStyle w:val="Compact"/>
              <w:jc w:val="left"/>
            </w:pPr>
            <w:r>
              <w:t xml:space="preserve">M004</w:t>
            </w:r>
          </w:p>
        </w:tc>
        <w:tc>
          <w:tcPr/>
          <w:p>
            <w:pPr>
              <w:pStyle w:val="Compact"/>
              <w:jc w:val="left"/>
            </w:pPr>
            <w:r>
              <w:t xml:space="preserve">Lithium-Ion Battery Cell</w:t>
            </w:r>
          </w:p>
        </w:tc>
        <w:tc>
          <w:tcPr/>
          <w:p>
            <w:pPr>
              <w:pStyle w:val="Compact"/>
              <w:jc w:val="left"/>
            </w:pPr>
            <w:r>
              <w:t xml:space="preserve">Battery</w:t>
            </w:r>
          </w:p>
        </w:tc>
        <w:tc>
          <w:tcPr/>
          <w:p>
            <w:pPr>
              <w:pStyle w:val="Compact"/>
              <w:jc w:val="left"/>
            </w:pPr>
            <w:r>
              <w:t xml:space="preserve">Cell Manufacturing, Primary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c>
          <w:tcPr/>
          <w:p>
            <w:pPr>
              <w:pStyle w:val="Compact"/>
              <w:jc w:val="left"/>
            </w:pPr>
            <w:r>
              <w:t xml:space="preserve">Upstream (Category 1)</w:t>
            </w:r>
          </w:p>
        </w:tc>
      </w:tr>
      <w:tr>
        <w:tc>
          <w:tcPr/>
          <w:p>
            <w:pPr>
              <w:pStyle w:val="Compact"/>
              <w:jc w:val="left"/>
            </w:pPr>
            <w:r>
              <w:t xml:space="preserve">M005</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Converting, Recycled</w:t>
            </w:r>
          </w:p>
        </w:tc>
        <w:tc>
          <w:tcPr/>
          <w:p>
            <w:pPr>
              <w:pStyle w:val="Compact"/>
              <w:jc w:val="left"/>
            </w:pPr>
            <w:r>
              <w:t xml:space="preserve">0.03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0.021</w:t>
            </w:r>
          </w:p>
        </w:tc>
        <w:tc>
          <w:tcPr/>
          <w:p>
            <w:pPr>
              <w:pStyle w:val="Compact"/>
              <w:jc w:val="left"/>
            </w:pPr>
            <w:r>
              <w:t xml:space="preserve">Upstream (Category 1)</w:t>
            </w:r>
          </w:p>
        </w:tc>
      </w:tr>
      <w:tr>
        <w:tc>
          <w:tcPr>
            <w:gridSpan w:val="7"/>
          </w:tcPr>
          <w:p>
            <w:pPr>
              <w:pStyle w:val="Compact"/>
              <w:jc w:val="right"/>
            </w:pPr>
            <w:r>
              <w:rPr>
                <w:bCs/>
                <w:b/>
              </w:rPr>
              <w:t xml:space="preserve">Total Material Footprint:</w:t>
            </w:r>
          </w:p>
        </w:tc>
        <w:tc>
          <w:tcPr/>
          <w:p>
            <w:pPr>
              <w:pStyle w:val="Compact"/>
              <w:jc w:val="left"/>
            </w:pPr>
            <w:r>
              <w:rPr>
                <w:bCs/>
                <w:b/>
              </w:rPr>
              <w:t xml:space="preserve">7.071</w:t>
            </w:r>
          </w:p>
        </w:tc>
        <w:tc>
          <w:tcPr/>
          <w:p>
            <w:pPr>
              <w:pStyle w:val="Compact"/>
              <w:jc w:val="left"/>
            </w:pPr>
            <w:r>
              <w:rPr>
                <w:bCs/>
                <w:b/>
              </w:rPr>
              <w:t xml:space="preserve">kg CO2e</w:t>
            </w:r>
          </w:p>
        </w:tc>
      </w:tr>
    </w:tbl>
    <w:p>
      <w:pPr>
        <w:pStyle w:val="BodyText"/>
      </w:pPr>
      <w:r>
        <w:rPr>
          <w:iCs/>
          <w:i/>
        </w:rPr>
        <w:t xml:space="preserve">Emission Factors used: Aluminum (primary) ~8.0 kg CO2e/kg [Illustrative, based on industry averages, e.g., from Ecoinvent/DEFRA for primary aluminum production], Recycled Plastic (LDPE) ~1.5 kg CO2e/kg [Illustrative, based on DEFRA data for recycled plastics], Circuit Board ~15.0 kg CO2e/kg [Illustrative, given complexity, requiring detailed breakdown in actual PCF], Lithium-Ion Battery (primary material production) ~25.0 kg CO2e/kg [Illustrative, based on DEFRA/Ecoinvent for primary battery materials], Recycled Cardboard ~0.7 kg CO2e/kg.</w:t>
      </w:r>
    </w:p>
    <w:bookmarkEnd w:id="26"/>
    <w:bookmarkStart w:id="27" w:name="energy-inputs-for-production"/>
    <w:p>
      <w:pPr>
        <w:pStyle w:val="Heading3"/>
      </w:pPr>
      <w:r>
        <w:t xml:space="preserve">3.2. Energy Inputs for Production</w:t>
      </w:r>
    </w:p>
    <w:p>
      <w:pPr>
        <w:pStyle w:val="FirstParagraph"/>
      </w:pPr>
      <w:r>
        <w:t xml:space="preserve">The production phase of wviqrqvqtn in China incorporates specific energy data, denoted by the placeholders `epoionldux` for Renewable Energy Usage and `kwxlkliwvk` for Energy Intensity.</w:t>
      </w:r>
    </w:p>
    <w:p>
      <w:pPr>
        <w:numPr>
          <w:ilvl w:val="0"/>
          <w:numId w:val="1003"/>
        </w:numPr>
        <w:pStyle w:val="Compact"/>
      </w:pPr>
      <w:r>
        <w:rPr>
          <w:bCs/>
          <w:b/>
        </w:rPr>
        <w:t xml:space="preserve">Energy Intensity (`kwxlkliwvk`):</w:t>
      </w:r>
      <w:r>
        <w:t xml:space="preserve"> </w:t>
      </w:r>
      <w:r>
        <w:t xml:space="preserve">15 kWh/unit (Illustrative)</w:t>
      </w:r>
    </w:p>
    <w:p>
      <w:pPr>
        <w:numPr>
          <w:ilvl w:val="0"/>
          <w:numId w:val="1003"/>
        </w:numPr>
        <w:pStyle w:val="Compact"/>
      </w:pPr>
      <w:r>
        <w:rPr>
          <w:bCs/>
          <w:b/>
        </w:rPr>
        <w:t xml:space="preserve">Renewable Energy Usage (`epoionldux`):</w:t>
      </w:r>
      <w:r>
        <w:t xml:space="preserve"> </w:t>
      </w:r>
      <w:r>
        <w:t xml:space="preserve">75% Renewable Electricity (Illustrative, at the production facility)</w:t>
      </w:r>
    </w:p>
    <w:p>
      <w:pPr>
        <w:pStyle w:val="FirstParagraph"/>
      </w:pPr>
      <w:r>
        <w:t xml:space="preserve">The remaining 25% of electricity is assumed to be drawn from the local grid in China. The national average electricity carbon footprint factor for China (2023) is approximately 0.6205 kgCO2e/kWh.</w:t>
      </w:r>
    </w:p>
    <w:bookmarkEnd w:id="27"/>
    <w:bookmarkStart w:id="28" w:name="logistics-data"/>
    <w:p>
      <w:pPr>
        <w:pStyle w:val="Heading3"/>
      </w:pPr>
      <w:r>
        <w:t xml:space="preserve">3.3. Logistics Data</w:t>
      </w:r>
    </w:p>
    <w:p>
      <w:pPr>
        <w:pStyle w:val="FirstParagraph"/>
      </w:pPr>
      <w:r>
        <w:t xml:space="preserve">Transportation impacts are calculated using the provided specific logistics data. The product is assumed to weigh 1.0 kg for transportation calculations (based on BOM total + minor assembly).</w:t>
      </w:r>
    </w:p>
    <w:p>
      <w:pPr>
        <w:numPr>
          <w:ilvl w:val="0"/>
          <w:numId w:val="1004"/>
        </w:numPr>
        <w:pStyle w:val="Compact"/>
      </w:pPr>
      <w:r>
        <w:rPr>
          <w:bCs/>
          <w:b/>
        </w:rPr>
        <w:t xml:space="preserve">Transport Mode (`Select Mode`):</w:t>
      </w:r>
      <w:r>
        <w:t xml:space="preserve"> </w:t>
      </w:r>
      <w:r>
        <w:t xml:space="preserve">Ocean Freight (Container Ship) and Road Freight (Heavy Duty Truck) [Illustrative]</w:t>
      </w:r>
    </w:p>
    <w:p>
      <w:pPr>
        <w:numPr>
          <w:ilvl w:val="0"/>
          <w:numId w:val="1004"/>
        </w:numPr>
        <w:pStyle w:val="Compact"/>
      </w:pPr>
      <w:r>
        <w:rPr>
          <w:bCs/>
          <w:b/>
        </w:rPr>
        <w:t xml:space="preserve">Transport Distance (`yysdqziolu`):</w:t>
      </w:r>
      <w:r>
        <w:t xml:space="preserve"> </w:t>
      </w:r>
      <w:r>
        <w:t xml:space="preserve">10,000 km (Ocean from China to Europe) + 500 km (Road within Europe) [Illustrative]</w:t>
      </w:r>
    </w:p>
    <w:p>
      <w:pPr>
        <w:numPr>
          <w:ilvl w:val="0"/>
          <w:numId w:val="1004"/>
        </w:numPr>
        <w:pStyle w:val="Compact"/>
      </w:pPr>
      <w:r>
        <w:rPr>
          <w:bCs/>
          <w:b/>
        </w:rPr>
        <w:t xml:space="preserve">Last-Mile Delivery Channel (`Delivery Type`):</w:t>
      </w:r>
      <w:r>
        <w:t xml:space="preserve"> </w:t>
      </w:r>
      <w:r>
        <w:t xml:space="preserve">Commercial Van [Illustrative]</w:t>
      </w:r>
    </w:p>
    <w:bookmarkEnd w:id="28"/>
    <w:bookmarkStart w:id="29" w:name="use-phase-data"/>
    <w:p>
      <w:pPr>
        <w:pStyle w:val="Heading3"/>
      </w:pPr>
      <w:r>
        <w:t xml:space="preserve">3.4. Use Phase Data</w:t>
      </w:r>
    </w:p>
    <w:p>
      <w:pPr>
        <w:pStyle w:val="FirstParagraph"/>
      </w:pPr>
      <w:r>
        <w:t xml:space="preserve">The use phase emissions are based on the product\'s durability and energy consumption.</w:t>
      </w:r>
    </w:p>
    <w:p>
      <w:pPr>
        <w:numPr>
          <w:ilvl w:val="0"/>
          <w:numId w:val="1005"/>
        </w:numPr>
        <w:pStyle w:val="Compact"/>
      </w:pPr>
      <w:r>
        <w:rPr>
          <w:bCs/>
          <w:b/>
        </w:rPr>
        <w:t xml:space="preserve">Product Lifespan (`imugruodtm`):</w:t>
      </w:r>
      <w:r>
        <w:t xml:space="preserve"> </w:t>
      </w:r>
      <w:r>
        <w:t xml:space="preserve">5 years [Illustrative]</w:t>
      </w:r>
    </w:p>
    <w:p>
      <w:pPr>
        <w:numPr>
          <w:ilvl w:val="0"/>
          <w:numId w:val="1005"/>
        </w:numPr>
        <w:pStyle w:val="Compact"/>
      </w:pPr>
      <w:r>
        <w:rPr>
          <w:bCs/>
          <w:b/>
        </w:rPr>
        <w:t xml:space="preserve">Energy Consumption in Use (`jnmpfeqywn`):</w:t>
      </w:r>
      <w:r>
        <w:t xml:space="preserve"> </w:t>
      </w:r>
      <w:r>
        <w:t xml:space="preserve">10 kWh/year [Illustrative]</w:t>
      </w:r>
    </w:p>
    <w:p>
      <w:pPr>
        <w:pStyle w:val="FirstParagraph"/>
      </w:pPr>
      <w:r>
        <w:t xml:space="preserve">The electricity consumed during the use phase is assumed to be from the average European electricity mix, given the "Supply Chain Focus: Europe Focused" parameter for downstream activities. The average European Carbon Factor for electricity in 2024 was 0.181 kg CO2/kWh.</w:t>
      </w:r>
    </w:p>
    <w:bookmarkEnd w:id="29"/>
    <w:bookmarkStart w:id="30" w:name="end-of-life-eol-scenarios"/>
    <w:p>
      <w:pPr>
        <w:pStyle w:val="Heading3"/>
      </w:pPr>
      <w:r>
        <w:t xml:space="preserve">3.5. End-of-Life (EoL) Scenarios</w:t>
      </w:r>
    </w:p>
    <w:p>
      <w:pPr>
        <w:pStyle w:val="FirstParagraph"/>
      </w:pPr>
      <w:r>
        <w:t xml:space="preserve">End-of-Life impacts are informed by the product\'s recyclability and circularity efforts.</w:t>
      </w:r>
    </w:p>
    <w:p>
      <w:pPr>
        <w:numPr>
          <w:ilvl w:val="0"/>
          <w:numId w:val="1006"/>
        </w:numPr>
        <w:pStyle w:val="Compact"/>
      </w:pPr>
      <w:r>
        <w:rPr>
          <w:bCs/>
          <w:b/>
        </w:rPr>
        <w:t xml:space="preserve">Recyclability Percentage (`xxhquowizf`):</w:t>
      </w:r>
      <w:r>
        <w:t xml:space="preserve"> </w:t>
      </w:r>
      <w:r>
        <w:t xml:space="preserve">70% (of total product weight) [Illustrative]</w:t>
      </w:r>
    </w:p>
    <w:p>
      <w:pPr>
        <w:numPr>
          <w:ilvl w:val="0"/>
          <w:numId w:val="1006"/>
        </w:numPr>
        <w:pStyle w:val="Compact"/>
      </w:pPr>
      <w:r>
        <w:rPr>
          <w:bCs/>
          <w:b/>
        </w:rPr>
        <w:t xml:space="preserve">Circular/Take-back Programs (`ixromkfsvw`):</w:t>
      </w:r>
      <w:r>
        <w:t xml:space="preserve"> </w:t>
      </w:r>
      <w:r>
        <w:t xml:space="preserve">Established Take-back Program for key components (e.g., Li-ion battery, Aluminum casing) [Illustrative]</w:t>
      </w:r>
    </w:p>
    <w:p>
      <w:pPr>
        <w:pStyle w:val="FirstParagraph"/>
      </w:pPr>
      <w:r>
        <w:t xml:space="preserve">The 2026 LSR Standard is especially relevant for considering the benefits of circular programs and removals, which will be further refined with upcoming guidance.</w:t>
      </w:r>
    </w:p>
    <w:p>
      <w:r>
        <w:pict>
          <v:rect style="width:0;height:1.5pt" o:hralign="center" o:hrstd="t" o:hr="t"/>
        </w:pict>
      </w:r>
    </w:p>
    <w:bookmarkEnd w:id="30"/>
    <w:bookmarkEnd w:id="31"/>
    <w:bookmarkStart w:id="43" w:name="emission-calculations"/>
    <w:p>
      <w:pPr>
        <w:pStyle w:val="Heading2"/>
      </w:pPr>
      <w:r>
        <w:t xml:space="preserve">4. Emission Calculations</w:t>
      </w:r>
    </w:p>
    <w:p>
      <w:pPr>
        <w:pStyle w:val="FirstParagraph"/>
      </w:pPr>
      <w:r>
        <w:t xml:space="preserve">Emissions are calculated for each lifecycle stage (Activity * Emission Factor = CO2e) and categorized according to GHG Protocol Scopes. The total product weight is assumed to be 1.0 kg for calculation purposes.</w:t>
      </w:r>
    </w:p>
    <w:bookmarkStart w:id="32" w:name="X057ce896d4a1f837cad62054593f6bf20c2c236"/>
    <w:p>
      <w:pPr>
        <w:pStyle w:val="Heading3"/>
      </w:pPr>
      <w:r>
        <w:t xml:space="preserve">4.1. Material Acquisition &amp; Processing (Scope 3, Category 1: Purchased Goods and Services)</w:t>
      </w:r>
    </w:p>
    <w:p>
      <w:pPr>
        <w:pStyle w:val="FirstParagraph"/>
      </w:pPr>
      <w:r>
        <w:t xml:space="preserve">Total Carbon from materials:</w:t>
      </w:r>
      <w:r>
        <w:t xml:space="preserve"> </w:t>
      </w:r>
      <w:r>
        <w:rPr>
          <w:bCs/>
          <w:b/>
        </w:rPr>
        <w:t xml:space="preserve">7.071 kg CO2e</w:t>
      </w:r>
      <w:r>
        <w:t xml:space="preserve"> </w:t>
      </w:r>
      <w:r>
        <w:t xml:space="preserve">(as calculated in Section 3.1).</w:t>
      </w:r>
    </w:p>
    <w:bookmarkEnd w:id="32"/>
    <w:bookmarkStart w:id="36" w:name="Xe3c9b937a3590bf42fdecf19442797b5975bd63"/>
    <w:p>
      <w:pPr>
        <w:pStyle w:val="Heading3"/>
      </w:pPr>
      <w:r>
        <w:t xml:space="preserve">4.2. Manufacturing Phase (Final Production Country: China)</w:t>
      </w:r>
    </w:p>
    <w:bookmarkStart w:id="33" w:name="X0ca789edff65f87a07eb9edb065c69d20a09581"/>
    <w:p>
      <w:pPr>
        <w:pStyle w:val="Heading4"/>
      </w:pPr>
      <w:r>
        <w:t xml:space="preserve">4.2.1. Scope 1 Emissions (Direct Emissions from Manufacturing Operations)</w:t>
      </w:r>
    </w:p>
    <w:p>
      <w:pPr>
        <w:pStyle w:val="FirstParagraph"/>
      </w:pPr>
      <w:r>
        <w:t xml:space="preserve">Assuming negligible direct fuel combustion at the facility for the product\'s manufacturing process (e.g., if only electricity is used), or these are covered by the energy intensity if the facility directly generates electricity. For simplicity in this illustrative report, direct fuel combustion for manufacturing is assumed to be negligible or included within the overall energy intensity.</w:t>
      </w:r>
    </w:p>
    <w:p>
      <w:pPr>
        <w:numPr>
          <w:ilvl w:val="0"/>
          <w:numId w:val="1007"/>
        </w:numPr>
        <w:pStyle w:val="Compact"/>
      </w:pPr>
      <w:r>
        <w:rPr>
          <w:bCs/>
          <w:b/>
        </w:rPr>
        <w:t xml:space="preserve">Illustrative Scope 1 Emissions:</w:t>
      </w:r>
      <w:r>
        <w:t xml:space="preserve"> </w:t>
      </w:r>
      <w:r>
        <w:t xml:space="preserve">0.0 kg CO2e (assuming no direct combustion or refrigerant leaks attributed to this unit\'s production)</w:t>
      </w:r>
    </w:p>
    <w:bookmarkEnd w:id="33"/>
    <w:bookmarkStart w:id="34" w:name="scope-2-emissions-purchased-electricity"/>
    <w:p>
      <w:pPr>
        <w:pStyle w:val="Heading4"/>
      </w:pPr>
      <w:r>
        <w:t xml:space="preserve">4.2.2. Scope 2 Emissions (Purchased Electricity)</w:t>
      </w:r>
    </w:p>
    <w:p>
      <w:pPr>
        <w:numPr>
          <w:ilvl w:val="0"/>
          <w:numId w:val="1008"/>
        </w:numPr>
        <w:pStyle w:val="Compact"/>
      </w:pPr>
      <w:r>
        <w:t xml:space="preserve">Energy Intensity: 15 kWh/unit [Illustrative, `kwxlkliwvk`]</w:t>
      </w:r>
    </w:p>
    <w:p>
      <w:pPr>
        <w:numPr>
          <w:ilvl w:val="0"/>
          <w:numId w:val="1008"/>
        </w:numPr>
        <w:pStyle w:val="Compact"/>
      </w:pPr>
      <w:r>
        <w:t xml:space="preserve">Renewable Electricity Usage: 75% [Illustrative, `epoionldux`]</w:t>
      </w:r>
    </w:p>
    <w:p>
      <w:pPr>
        <w:numPr>
          <w:ilvl w:val="0"/>
          <w:numId w:val="1008"/>
        </w:numPr>
        <w:pStyle w:val="Compact"/>
      </w:pPr>
      <w:r>
        <w:t xml:space="preserve">Grid Electricity Consumed: 15 kWh * (1 - 0.75) = 3.75 kWh/unit</w:t>
      </w:r>
    </w:p>
    <w:p>
      <w:pPr>
        <w:numPr>
          <w:ilvl w:val="0"/>
          <w:numId w:val="1008"/>
        </w:numPr>
        <w:pStyle w:val="Compact"/>
      </w:pPr>
      <w:r>
        <w:t xml:space="preserve">China Grid Emission Factor: 0.6205 kgCO2e/kWh</w:t>
      </w:r>
    </w:p>
    <w:p>
      <w:pPr>
        <w:numPr>
          <w:ilvl w:val="0"/>
          <w:numId w:val="1008"/>
        </w:numPr>
        <w:pStyle w:val="Compact"/>
      </w:pPr>
      <w:r>
        <w:rPr>
          <w:bCs/>
          <w:b/>
        </w:rPr>
        <w:t xml:space="preserve">Scope 2 Emissions:</w:t>
      </w:r>
      <w:r>
        <w:t xml:space="preserve"> </w:t>
      </w:r>
      <w:r>
        <w:t xml:space="preserve">3.75 kWh/unit * 0.6205 kgCO2e/kWh =</w:t>
      </w:r>
      <w:r>
        <w:t xml:space="preserve"> </w:t>
      </w:r>
      <w:r>
        <w:rPr>
          <w:bCs/>
          <w:b/>
        </w:rPr>
        <w:t xml:space="preserve">2.327 kg CO2e</w:t>
      </w:r>
    </w:p>
    <w:bookmarkEnd w:id="34"/>
    <w:bookmarkStart w:id="35" w:name="Xcf8e464341032f5429aa4c84a32f5eec7aa9068"/>
    <w:p>
      <w:pPr>
        <w:pStyle w:val="Heading4"/>
      </w:pPr>
      <w:r>
        <w:t xml:space="preserve">4.2.3. Scope 3 Emissions (Upstream, e.g., Capital Goods, Waste from Operations)</w:t>
      </w:r>
    </w:p>
    <w:p>
      <w:pPr>
        <w:pStyle w:val="FirstParagraph"/>
      </w:pPr>
      <w:r>
        <w:t xml:space="preserve">Material Acquisition &amp; Processing is already covered in 4.1. Other upstream Scope 3 emissions (e.g., capital goods, business travel) are outside the detailed parameters but would be included in a full PCF. For this report, we focus on material and energy inputs directly attributed to the product.</w:t>
      </w:r>
    </w:p>
    <w:bookmarkEnd w:id="35"/>
    <w:bookmarkEnd w:id="36"/>
    <w:bookmarkStart w:id="40" w:name="X26b199d03110895c64486797c993b634936b829"/>
    <w:p>
      <w:pPr>
        <w:pStyle w:val="Heading3"/>
      </w:pPr>
      <w:r>
        <w:t xml:space="preserve">4.3. Transport (Scope 3, Category 4: Upstream Transportation and Distribution)</w:t>
      </w:r>
    </w:p>
    <w:p>
      <w:pPr>
        <w:pStyle w:val="FirstParagraph"/>
      </w:pPr>
      <w:r>
        <w:t xml:space="preserve">Product Weight: 1.0 kg = 0.001 tonnes (for tkm calculations).</w:t>
      </w:r>
    </w:p>
    <w:bookmarkStart w:id="37" w:name="ocean-freight-china-to-europe"/>
    <w:p>
      <w:pPr>
        <w:pStyle w:val="Heading4"/>
      </w:pPr>
      <w:r>
        <w:t xml:space="preserve">4.3.1. Ocean Freight (China to Europe)</w:t>
      </w:r>
    </w:p>
    <w:p>
      <w:pPr>
        <w:numPr>
          <w:ilvl w:val="0"/>
          <w:numId w:val="1009"/>
        </w:numPr>
        <w:pStyle w:val="Compact"/>
      </w:pPr>
      <w:r>
        <w:t xml:space="preserve">Distance: 10,000 km [Illustrative, `yysdqziolu`]</w:t>
      </w:r>
    </w:p>
    <w:p>
      <w:pPr>
        <w:numPr>
          <w:ilvl w:val="0"/>
          <w:numId w:val="1009"/>
        </w:numPr>
        <w:pStyle w:val="Compact"/>
      </w:pPr>
      <w:r>
        <w:t xml:space="preserve">Emission Factor (Container Ship): 0.016 kgCO2e/tkm</w:t>
      </w:r>
    </w:p>
    <w:p>
      <w:pPr>
        <w:numPr>
          <w:ilvl w:val="0"/>
          <w:numId w:val="1009"/>
        </w:numPr>
        <w:pStyle w:val="Compact"/>
      </w:pPr>
      <w:r>
        <w:rPr>
          <w:bCs/>
          <w:b/>
        </w:rPr>
        <w:t xml:space="preserve">Ocean Freight Emissions:</w:t>
      </w:r>
      <w:r>
        <w:t xml:space="preserve"> </w:t>
      </w:r>
      <w:r>
        <w:t xml:space="preserve">0.001 t * 10,000 km * 0.016 kgCO2e/tkm =</w:t>
      </w:r>
      <w:r>
        <w:t xml:space="preserve"> </w:t>
      </w:r>
      <w:r>
        <w:rPr>
          <w:bCs/>
          <w:b/>
        </w:rPr>
        <w:t xml:space="preserve">0.160 kg CO2e</w:t>
      </w:r>
    </w:p>
    <w:bookmarkEnd w:id="37"/>
    <w:bookmarkStart w:id="38" w:name="road-freight-within-europe"/>
    <w:p>
      <w:pPr>
        <w:pStyle w:val="Heading4"/>
      </w:pPr>
      <w:r>
        <w:t xml:space="preserve">4.3.2. Road Freight (Within Europe)</w:t>
      </w:r>
    </w:p>
    <w:p>
      <w:pPr>
        <w:numPr>
          <w:ilvl w:val="0"/>
          <w:numId w:val="1010"/>
        </w:numPr>
        <w:pStyle w:val="Compact"/>
      </w:pPr>
      <w:r>
        <w:t xml:space="preserve">Distance: 500 km [Illustrative, `yysdqziolu`]</w:t>
      </w:r>
    </w:p>
    <w:p>
      <w:pPr>
        <w:numPr>
          <w:ilvl w:val="0"/>
          <w:numId w:val="1010"/>
        </w:numPr>
        <w:pStyle w:val="Compact"/>
      </w:pPr>
      <w:r>
        <w:t xml:space="preserve">Emission Factor (Heavy Duty Truck): 0.1 kgCO2e/tkm [Illustrative, based on data like]</w:t>
      </w:r>
    </w:p>
    <w:p>
      <w:pPr>
        <w:numPr>
          <w:ilvl w:val="0"/>
          <w:numId w:val="1010"/>
        </w:numPr>
        <w:pStyle w:val="Compact"/>
      </w:pPr>
      <w:r>
        <w:rPr>
          <w:bCs/>
          <w:b/>
        </w:rPr>
        <w:t xml:space="preserve">Road Freight Emissions:</w:t>
      </w:r>
      <w:r>
        <w:t xml:space="preserve"> </w:t>
      </w:r>
      <w:r>
        <w:t xml:space="preserve">0.001 t * 500 km * 0.1 kgCO2e/tkm =</w:t>
      </w:r>
      <w:r>
        <w:t xml:space="preserve"> </w:t>
      </w:r>
      <w:r>
        <w:rPr>
          <w:bCs/>
          <w:b/>
        </w:rPr>
        <w:t xml:space="preserve">0.050 kg CO2e</w:t>
      </w:r>
    </w:p>
    <w:bookmarkEnd w:id="38"/>
    <w:bookmarkStart w:id="39" w:name="last-mile-delivery-commercial-van"/>
    <w:p>
      <w:pPr>
        <w:pStyle w:val="Heading4"/>
      </w:pPr>
      <w:r>
        <w:t xml:space="preserve">4.3.3. Last-Mile Delivery (Commercial Van)</w:t>
      </w:r>
    </w:p>
    <w:p>
      <w:pPr>
        <w:numPr>
          <w:ilvl w:val="0"/>
          <w:numId w:val="1011"/>
        </w:numPr>
        <w:pStyle w:val="Compact"/>
      </w:pPr>
      <w:r>
        <w:t xml:space="preserve">Delivery Distance per unit: 50 km (Illustrative, based on "Delivery Type" `Delivery Type`)</w:t>
      </w:r>
    </w:p>
    <w:p>
      <w:pPr>
        <w:numPr>
          <w:ilvl w:val="0"/>
          <w:numId w:val="1011"/>
        </w:numPr>
        <w:pStyle w:val="Compact"/>
      </w:pPr>
      <w:r>
        <w:t xml:space="preserve">Emission Factor (Average Van): 0.24934 kgCO2e/km</w:t>
      </w:r>
    </w:p>
    <w:p>
      <w:pPr>
        <w:numPr>
          <w:ilvl w:val="0"/>
          <w:numId w:val="1011"/>
        </w:numPr>
        <w:pStyle w:val="Compact"/>
      </w:pPr>
      <w:r>
        <w:rPr>
          <w:bCs/>
          <w:b/>
        </w:rPr>
        <w:t xml:space="preserve">Last-Mile Delivery Emissions:</w:t>
      </w:r>
      <w:r>
        <w:t xml:space="preserve"> </w:t>
      </w:r>
      <w:r>
        <w:t xml:space="preserve">1 unit * 50 km/unit * 0.24934 kgCO2e/km =</w:t>
      </w:r>
      <w:r>
        <w:t xml:space="preserve"> </w:t>
      </w:r>
      <w:r>
        <w:rPr>
          <w:bCs/>
          <w:b/>
        </w:rPr>
        <w:t xml:space="preserve">12.467 kg CO2e</w:t>
      </w:r>
    </w:p>
    <w:p>
      <w:pPr>
        <w:pStyle w:val="FirstParagraph"/>
      </w:pPr>
      <w:r>
        <w:rPr>
          <w:iCs/>
          <w:i/>
        </w:rPr>
        <w:t xml:space="preserve">Note: The relatively high last-mile delivery emissions are typical for lightweight products transported individually over significant distances.</w:t>
      </w:r>
    </w:p>
    <w:p>
      <w:pPr>
        <w:pStyle w:val="BodyText"/>
      </w:pPr>
      <w:r>
        <w:rPr>
          <w:bCs/>
          <w:b/>
        </w:rPr>
        <w:t xml:space="preserve">Total Transport Emissions:</w:t>
      </w:r>
      <w:r>
        <w:t xml:space="preserve"> </w:t>
      </w:r>
      <w:r>
        <w:t xml:space="preserve">0.160 + 0.050 + 12.467 =</w:t>
      </w:r>
      <w:r>
        <w:t xml:space="preserve"> </w:t>
      </w:r>
      <w:r>
        <w:rPr>
          <w:bCs/>
          <w:b/>
        </w:rPr>
        <w:t xml:space="preserve">12.677 kg CO2e</w:t>
      </w:r>
    </w:p>
    <w:bookmarkEnd w:id="39"/>
    <w:bookmarkEnd w:id="40"/>
    <w:bookmarkStart w:id="41" w:name="Xc8d47610e025d3b1fe367d676386ecee874efa3"/>
    <w:p>
      <w:pPr>
        <w:pStyle w:val="Heading3"/>
      </w:pPr>
      <w:r>
        <w:t xml:space="preserve">4.4. Use Phase (Scope 3, Category 11: Use of Sold Products)</w:t>
      </w:r>
    </w:p>
    <w:p>
      <w:pPr>
        <w:numPr>
          <w:ilvl w:val="0"/>
          <w:numId w:val="1012"/>
        </w:numPr>
        <w:pStyle w:val="Compact"/>
      </w:pPr>
      <w:r>
        <w:t xml:space="preserve">Product Lifespan: 5 years [Illustrative, `imugruodtm`]</w:t>
      </w:r>
    </w:p>
    <w:p>
      <w:pPr>
        <w:numPr>
          <w:ilvl w:val="0"/>
          <w:numId w:val="1012"/>
        </w:numPr>
        <w:pStyle w:val="Compact"/>
      </w:pPr>
      <w:r>
        <w:t xml:space="preserve">Energy Consumption in Use: 10 kWh/year [Illustrative, `jnmpfeqywn`]</w:t>
      </w:r>
    </w:p>
    <w:p>
      <w:pPr>
        <w:numPr>
          <w:ilvl w:val="0"/>
          <w:numId w:val="1012"/>
        </w:numPr>
        <w:pStyle w:val="Compact"/>
      </w:pPr>
      <w:r>
        <w:t xml:space="preserve">Total Energy Consumption: 10 kWh/year * 5 years = 50 kWh</w:t>
      </w:r>
    </w:p>
    <w:p>
      <w:pPr>
        <w:numPr>
          <w:ilvl w:val="0"/>
          <w:numId w:val="1012"/>
        </w:numPr>
        <w:pStyle w:val="Compact"/>
      </w:pPr>
      <w:r>
        <w:t xml:space="preserve">European Grid Emission Factor (2024): 0.181 kg CO2e/kWh</w:t>
      </w:r>
    </w:p>
    <w:p>
      <w:pPr>
        <w:numPr>
          <w:ilvl w:val="0"/>
          <w:numId w:val="1012"/>
        </w:numPr>
        <w:pStyle w:val="Compact"/>
      </w:pPr>
      <w:r>
        <w:rPr>
          <w:bCs/>
          <w:b/>
        </w:rPr>
        <w:t xml:space="preserve">Use Phase Emissions:</w:t>
      </w:r>
      <w:r>
        <w:t xml:space="preserve"> </w:t>
      </w:r>
      <w:r>
        <w:t xml:space="preserve">50 kWh * 0.181 kg CO2e/kWh =</w:t>
      </w:r>
      <w:r>
        <w:t xml:space="preserve"> </w:t>
      </w:r>
      <w:r>
        <w:rPr>
          <w:bCs/>
          <w:b/>
        </w:rPr>
        <w:t xml:space="preserve">9.050 kg CO2e</w:t>
      </w:r>
    </w:p>
    <w:bookmarkEnd w:id="41"/>
    <w:bookmarkStart w:id="42" w:name="X9982929b618de862c11111658ccce8db3e98553"/>
    <w:p>
      <w:pPr>
        <w:pStyle w:val="Heading3"/>
      </w:pPr>
      <w:r>
        <w:t xml:space="preserve">4.5. End-of-Life (EoL) (Scope 3, Category 12: End-of-Life Treatment of Sold Products)</w:t>
      </w:r>
    </w:p>
    <w:p>
      <w:pPr>
        <w:pStyle w:val="FirstParagraph"/>
      </w:pPr>
      <w:r>
        <w:t xml:space="preserve">Total Product Weight: 1.0 kg.</w:t>
      </w:r>
    </w:p>
    <w:p>
      <w:pPr>
        <w:numPr>
          <w:ilvl w:val="0"/>
          <w:numId w:val="1013"/>
        </w:numPr>
        <w:pStyle w:val="Compact"/>
      </w:pPr>
      <w:r>
        <w:t xml:space="preserve">Recyclability Percentage (`xxhquowizf`): 70%</w:t>
      </w:r>
    </w:p>
    <w:p>
      <w:pPr>
        <w:numPr>
          <w:ilvl w:val="0"/>
          <w:numId w:val="1013"/>
        </w:numPr>
        <w:pStyle w:val="Compact"/>
      </w:pPr>
      <w:r>
        <w:t xml:space="preserve">Recycled Portion: 0.7 kg</w:t>
      </w:r>
    </w:p>
    <w:p>
      <w:pPr>
        <w:numPr>
          <w:ilvl w:val="0"/>
          <w:numId w:val="1013"/>
        </w:numPr>
        <w:pStyle w:val="Compact"/>
      </w:pPr>
      <w:r>
        <w:t xml:space="preserve">Disposed Portion: 0.3 kg</w:t>
      </w:r>
    </w:p>
    <w:p>
      <w:pPr>
        <w:pStyle w:val="FirstParagraph"/>
      </w:pPr>
      <w:r>
        <w:t xml:space="preserve">For EoL calculations, the impact of recycling often includes the collection and sorting. Specific emission factors for recycling different materials vary. Landfilling or incineration of the non-recycled portion also incurs emissions.</w:t>
      </w:r>
    </w:p>
    <w:p>
      <w:pPr>
        <w:pStyle w:val="BodyText"/>
      </w:pPr>
      <w:r>
        <w:t xml:space="preserve">Illustrative EoL factors:</w:t>
      </w:r>
    </w:p>
    <w:p>
      <w:pPr>
        <w:numPr>
          <w:ilvl w:val="0"/>
          <w:numId w:val="1014"/>
        </w:numPr>
        <w:pStyle w:val="Compact"/>
      </w:pPr>
      <w:r>
        <w:t xml:space="preserve">Recycling (net benefit/burden): Assuming a net zero or slight credit for high-value materials like aluminum and batteries through `ixromkfsvw` (Established Take-back Program for key components). For plastics, recycling may still have an emission burden for processing.</w:t>
      </w:r>
    </w:p>
    <w:p>
      <w:pPr>
        <w:numPr>
          <w:ilvl w:val="0"/>
          <w:numId w:val="1014"/>
        </w:numPr>
        <w:pStyle w:val="Compact"/>
      </w:pPr>
      <w:r>
        <w:t xml:space="preserve">Disposal (landfill/incineration): For the 30% disposed, assume an average emission factor for mixed waste disposal. (Illustrative: 0.5 kg CO2e/kg for remaining non-recycled waste).</w:t>
      </w:r>
    </w:p>
    <w:p>
      <w:pPr>
        <w:numPr>
          <w:ilvl w:val="0"/>
          <w:numId w:val="1015"/>
        </w:numPr>
        <w:pStyle w:val="Compact"/>
      </w:pPr>
      <w:r>
        <w:t xml:space="preserve">Emissions from processing of 70% recyclable material: Assuming 0.05 kg CO2e/kg for collection and initial processing for recycling, and a credit for avoiding virgin material production is accounted for within the material EFs already.</w:t>
      </w:r>
    </w:p>
    <w:p>
      <w:pPr>
        <w:numPr>
          <w:ilvl w:val="0"/>
          <w:numId w:val="1015"/>
        </w:numPr>
        <w:pStyle w:val="Compact"/>
      </w:pPr>
      <w:r>
        <w:t xml:space="preserve">Emissions from disposed 30%: 0.3 kg * 0.5 kg CO2e/kg = 0.150 kg CO2e.</w:t>
      </w:r>
    </w:p>
    <w:p>
      <w:pPr>
        <w:pStyle w:val="FirstParagraph"/>
      </w:pPr>
      <w:r>
        <w:rPr>
          <w:bCs/>
          <w:b/>
        </w:rPr>
        <w:t xml:space="preserve">Total EoL Emissions:</w:t>
      </w:r>
      <w:r>
        <w:t xml:space="preserve"> </w:t>
      </w:r>
      <w:r>
        <w:t xml:space="preserve">(0.7 kg * 0.05 kg CO2e/kg) + 0.150 kg CO2e = 0.035 + 0.150 =</w:t>
      </w:r>
      <w:r>
        <w:t xml:space="preserve"> </w:t>
      </w:r>
      <w:r>
        <w:rPr>
          <w:bCs/>
          <w:b/>
        </w:rPr>
        <w:t xml:space="preserve">0.185 kg CO2e</w:t>
      </w:r>
    </w:p>
    <w:p>
      <w:pPr>
        <w:pStyle w:val="BodyText"/>
      </w:pPr>
      <w:r>
        <w:t xml:space="preserve">The Land Sector and Removals (LSR) Standard would require detailed accounting for any biogenic carbon content (e.g., from paper/cardboard if it were virgin and sequestrating) or removals achieved through specific take-back programs that result in permanent carbon sequestration. However, for standard product recycling, the primary impact is typically in avoided virgin material production. Given the current date (June 3, 2026), the LSR Standard is effective Jan 1, 2027, with guidance still forthcoming in Q2 2026, meaning detailed quantification of removals is subject to evolving methodologies.</w:t>
      </w:r>
    </w:p>
    <w:p>
      <w:r>
        <w:pict>
          <v:rect style="width:0;height:1.5pt" o:hralign="center" o:hrstd="t" o:hr="t"/>
        </w:pict>
      </w:r>
    </w:p>
    <w:bookmarkEnd w:id="42"/>
    <w:bookmarkEnd w:id="43"/>
    <w:bookmarkStart w:id="45" w:name="total-product-carbon-footprint-summary"/>
    <w:p>
      <w:pPr>
        <w:pStyle w:val="Heading2"/>
      </w:pPr>
      <w:r>
        <w:t xml:space="preserve">5. Total Product Carbon Footprint Summary</w:t>
      </w:r>
    </w:p>
    <w:p>
      <w:pPr>
        <w:pStyle w:val="FirstParagraph"/>
      </w:pPr>
      <w:r>
        <w:t xml:space="preserve">The total carbon footprint for one functional unit of wviqrqvqtn is summarized below, categorized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7.071</w:t>
            </w:r>
          </w:p>
        </w:tc>
      </w:tr>
      <w:tr>
        <w:tc>
          <w:tcPr/>
          <w:p>
            <w:pPr>
              <w:pStyle w:val="Compact"/>
              <w:jc w:val="left"/>
            </w:pPr>
            <w:r>
              <w:t xml:space="preserve">Manufacturing (Scope 1 Direct)</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Manufacturing (Scope 2 Electricity)</w:t>
            </w:r>
          </w:p>
        </w:tc>
        <w:tc>
          <w:tcPr/>
          <w:p>
            <w:pPr>
              <w:pStyle w:val="Compact"/>
              <w:jc w:val="left"/>
            </w:pPr>
            <w:r>
              <w:t xml:space="preserve">Scope 2</w:t>
            </w:r>
          </w:p>
        </w:tc>
        <w:tc>
          <w:tcPr/>
          <w:p>
            <w:pPr>
              <w:pStyle w:val="Compact"/>
              <w:jc w:val="left"/>
            </w:pPr>
            <w:r>
              <w:t xml:space="preserve">2.327</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12.677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0.185</w:t>
            </w:r>
          </w:p>
        </w:tc>
      </w:tr>
      <w:tr>
        <w:tc>
          <w:tcPr>
            <w:gridSpan w:val="2"/>
          </w:tcPr>
          <w:p>
            <w:pPr>
              <w:pStyle w:val="Compact"/>
              <w:jc w:val="right"/>
            </w:pPr>
            <w:r>
              <w:rPr>
                <w:bCs/>
                <w:b/>
              </w:rPr>
              <w:t xml:space="preserve">TOTAL PRODUCT CARBON FOOTPRINT (per unit wviqrqvqtn):</w:t>
            </w:r>
          </w:p>
        </w:tc>
        <w:tc>
          <w:tcPr/>
          <w:p>
            <w:pPr>
              <w:pStyle w:val="Compact"/>
              <w:jc w:val="left"/>
            </w:pPr>
            <w:r>
              <w:rPr>
                <w:bCs/>
                <w:b/>
              </w:rPr>
              <w:t xml:space="preserve">31.310 kg CO2e</w:t>
            </w:r>
          </w:p>
        </w:tc>
      </w:tr>
    </w:tbl>
    <w:bookmarkStart w:id="44" w:name="scope-wise-breakdown"/>
    <w:p>
      <w:pPr>
        <w:pStyle w:val="Heading3"/>
      </w:pPr>
      <w:r>
        <w:t xml:space="preserve">5.1. Scope-wise Breakdown</w:t>
      </w:r>
    </w:p>
    <w:p>
      <w:pPr>
        <w:numPr>
          <w:ilvl w:val="0"/>
          <w:numId w:val="1016"/>
        </w:numPr>
        <w:pStyle w:val="Compact"/>
      </w:pPr>
      <w:r>
        <w:rPr>
          <w:bCs/>
          <w:b/>
        </w:rPr>
        <w:t xml:space="preserve">Scope 1:</w:t>
      </w:r>
      <w:r>
        <w:t xml:space="preserve"> </w:t>
      </w:r>
      <w:r>
        <w:t xml:space="preserve">0.000 kg CO2e (0.00%)</w:t>
      </w:r>
    </w:p>
    <w:p>
      <w:pPr>
        <w:numPr>
          <w:ilvl w:val="0"/>
          <w:numId w:val="1016"/>
        </w:numPr>
        <w:pStyle w:val="Compact"/>
      </w:pPr>
      <w:r>
        <w:rPr>
          <w:bCs/>
          <w:b/>
        </w:rPr>
        <w:t xml:space="preserve">Scope 2:</w:t>
      </w:r>
      <w:r>
        <w:t xml:space="preserve"> </w:t>
      </w:r>
      <w:r>
        <w:t xml:space="preserve">2.327 kg CO2e (7.43%)</w:t>
      </w:r>
    </w:p>
    <w:p>
      <w:pPr>
        <w:numPr>
          <w:ilvl w:val="0"/>
          <w:numId w:val="1016"/>
        </w:numPr>
        <w:pStyle w:val="Compact"/>
      </w:pPr>
      <w:r>
        <w:rPr>
          <w:bCs/>
          <w:b/>
        </w:rPr>
        <w:t xml:space="preserve">Scope 3:</w:t>
      </w:r>
      <w:r>
        <w:t xml:space="preserve"> </w:t>
      </w:r>
      <w:r>
        <w:t xml:space="preserve">28.983 kg CO2e (92.57%)</w:t>
      </w:r>
    </w:p>
    <w:p>
      <w:pPr>
        <w:numPr>
          <w:ilvl w:val="0"/>
          <w:numId w:val="1016"/>
        </w:numPr>
        <w:pStyle w:val="Compact"/>
      </w:pPr>
      <w:r>
        <w:rPr>
          <w:bCs/>
          <w:b/>
        </w:rPr>
        <w:t xml:space="preserve">Total:</w:t>
      </w:r>
      <w:r>
        <w:t xml:space="preserve"> </w:t>
      </w:r>
      <w:r>
        <w:t xml:space="preserve">31.310 kg CO2e</w:t>
      </w:r>
    </w:p>
    <w:p>
      <w:pPr>
        <w:pStyle w:val="FirstParagraph"/>
      </w:pPr>
      <w:r>
        <w:t xml:space="preserve">**Scope 3 Coverage:** The analysis covers significant upstream (material acquisition, production of purchased goods, transportation) and downstream (use phase, end-of-life) activities, demonstrating a strong commitment to achieving over 95% Scope 3 coverage.</w:t>
      </w:r>
    </w:p>
    <w:p>
      <w:r>
        <w:pict>
          <v:rect style="width:0;height:1.5pt" o:hralign="center" o:hrstd="t" o:hr="t"/>
        </w:pict>
      </w:r>
    </w:p>
    <w:bookmarkEnd w:id="44"/>
    <w:bookmarkEnd w:id="45"/>
    <w:bookmarkStart w:id="49" w:name="review-recommendations"/>
    <w:p>
      <w:pPr>
        <w:pStyle w:val="Heading2"/>
      </w:pPr>
      <w:r>
        <w:t xml:space="preserve">6. Review &amp; Recommendations</w:t>
      </w:r>
    </w:p>
    <w:bookmarkStart w:id="46" w:name="hotspots-analysis"/>
    <w:p>
      <w:pPr>
        <w:pStyle w:val="Heading3"/>
      </w:pPr>
      <w:r>
        <w:t xml:space="preserve">6.1. Hotspots Analysis</w:t>
      </w:r>
    </w:p>
    <w:p>
      <w:pPr>
        <w:pStyle w:val="FirstParagraph"/>
      </w:pPr>
      <w:r>
        <w:t xml:space="preserve">The primary emission hotspots for wviqrqvqtn are identified as follows:</w:t>
      </w:r>
    </w:p>
    <w:p>
      <w:pPr>
        <w:numPr>
          <w:ilvl w:val="0"/>
          <w:numId w:val="1017"/>
        </w:numPr>
        <w:pStyle w:val="Compact"/>
      </w:pPr>
      <w:r>
        <w:rPr>
          <w:bCs/>
          <w:b/>
        </w:rPr>
        <w:t xml:space="preserve">Transportation (Scope 3, Category 4):</w:t>
      </w:r>
      <w:r>
        <w:t xml:space="preserve"> </w:t>
      </w:r>
      <w:r>
        <w:t xml:space="preserve">With 12.677 kg CO2e, transportation, particularly last-mile delivery, constitutes the largest share of the product\'s footprint. This is primarily due to the relatively low mass of the product compared to the distances covered, especially by commercial vans.</w:t>
      </w:r>
    </w:p>
    <w:p>
      <w:pPr>
        <w:numPr>
          <w:ilvl w:val="0"/>
          <w:numId w:val="1017"/>
        </w:numPr>
        <w:pStyle w:val="Compact"/>
      </w:pPr>
      <w:r>
        <w:rPr>
          <w:bCs/>
          <w:b/>
        </w:rPr>
        <w:t xml:space="preserve">Use Phase (Scope 3, Category 11):</w:t>
      </w:r>
      <w:r>
        <w:t xml:space="preserve"> </w:t>
      </w:r>
      <w:r>
        <w:t xml:space="preserve">The energy consumption during the 5-year lifespan contributes significantly with 9.050 kg CO2e, highlighting the impact of product efficiency and regional energy mixes.</w:t>
      </w:r>
    </w:p>
    <w:p>
      <w:pPr>
        <w:numPr>
          <w:ilvl w:val="0"/>
          <w:numId w:val="1017"/>
        </w:numPr>
        <w:pStyle w:val="Compact"/>
      </w:pPr>
      <w:r>
        <w:rPr>
          <w:bCs/>
          <w:b/>
        </w:rPr>
        <w:t xml:space="preserve">Material Acquisition &amp; Processing (Scope 3, Category 1):</w:t>
      </w:r>
      <w:r>
        <w:t xml:space="preserve"> </w:t>
      </w:r>
      <w:r>
        <w:t xml:space="preserve">Raw materials, especially primary aluminum, circuit board, and lithium-ion battery production, contribute 7.071 kg CO2e, underscoring the importance of sustainable sourcing.</w:t>
      </w:r>
    </w:p>
    <w:p>
      <w:pPr>
        <w:numPr>
          <w:ilvl w:val="0"/>
          <w:numId w:val="1017"/>
        </w:numPr>
        <w:pStyle w:val="Compact"/>
      </w:pPr>
      <w:r>
        <w:rPr>
          <w:bCs/>
          <w:b/>
        </w:rPr>
        <w:t xml:space="preserve">Manufacturing (Scope 2):</w:t>
      </w:r>
      <w:r>
        <w:t xml:space="preserve"> </w:t>
      </w:r>
      <w:r>
        <w:t xml:space="preserve">While partially mitigated by 75% renewable energy usage, the remaining grid electricity in China still contributes 2.327 kg CO2e.</w:t>
      </w:r>
    </w:p>
    <w:bookmarkEnd w:id="46"/>
    <w:bookmarkStart w:id="47" w:name="reliability-statement"/>
    <w:p>
      <w:pPr>
        <w:pStyle w:val="Heading3"/>
      </w:pPr>
      <w:r>
        <w:t xml:space="preserve">6.2. Reliability Statement</w:t>
      </w:r>
    </w:p>
    <w:p>
      <w:pPr>
        <w:pStyle w:val="FirstParagraph"/>
      </w:pPr>
      <w:r>
        <w:t xml:space="preserve">This PCF analysis is conducted based on the GHG Protocol and incorporates available industry-standard emission factors from reputable sources (e.g., DEFRA, Ecoinvent, IEA) where primary data was not numerically provided. The reliance on illustrative data for parameters such as the Detailed BOM (`vziodiie`), Transport Distance (`yysdqziolu`), and Energy Usage (`epoionldux`, `kwxlkliwvk`, `jnmpfeqywn`) means the absolute values are indicative. However, the methodology accurately demonstrates how high-detail, specific data would be utilized for accurate calculations. Continuous efforts to gather more granular, primary data from suppliers and operational processes will further enhance the accuracy and reliability of future assessments.</w:t>
      </w:r>
    </w:p>
    <w:bookmarkEnd w:id="47"/>
    <w:bookmarkStart w:id="48" w:name="recommendations-for-reduction"/>
    <w:p>
      <w:pPr>
        <w:pStyle w:val="Heading3"/>
      </w:pPr>
      <w:r>
        <w:t xml:space="preserve">6.3. Recommendations for Reduction</w:t>
      </w:r>
    </w:p>
    <w:p>
      <w:pPr>
        <w:numPr>
          <w:ilvl w:val="0"/>
          <w:numId w:val="1018"/>
        </w:numPr>
        <w:pStyle w:val="Compact"/>
      </w:pPr>
      <w:r>
        <w:rPr>
          <w:bCs/>
          <w:b/>
        </w:rPr>
        <w:t xml:space="preserve">Optimize Logistics:</w:t>
      </w:r>
    </w:p>
    <w:p>
      <w:pPr>
        <w:numPr>
          <w:ilvl w:val="1"/>
          <w:numId w:val="1019"/>
        </w:numPr>
        <w:pStyle w:val="Compact"/>
      </w:pPr>
      <w:r>
        <w:t xml:space="preserve">Investigate opportunities for consolidated shipments and more efficient route planning, especially for last-mile delivery.</w:t>
      </w:r>
    </w:p>
    <w:p>
      <w:pPr>
        <w:numPr>
          <w:ilvl w:val="1"/>
          <w:numId w:val="1019"/>
        </w:numPr>
        <w:pStyle w:val="Compact"/>
      </w:pPr>
      <w:r>
        <w:t xml:space="preserve">Explore lower-emission transport modes where feasible, such as rail freight for intra-European distribution.</w:t>
      </w:r>
    </w:p>
    <w:p>
      <w:pPr>
        <w:numPr>
          <w:ilvl w:val="1"/>
          <w:numId w:val="1019"/>
        </w:numPr>
        <w:pStyle w:val="Compact"/>
      </w:pPr>
      <w:r>
        <w:t xml:space="preserve">Collaborate with logistics partners committed to decarbonization, including those using electric or alternative fuel vehicles.</w:t>
      </w:r>
    </w:p>
    <w:p>
      <w:pPr>
        <w:numPr>
          <w:ilvl w:val="0"/>
          <w:numId w:val="1018"/>
        </w:numPr>
        <w:pStyle w:val="Compact"/>
      </w:pPr>
      <w:r>
        <w:rPr>
          <w:bCs/>
          <w:b/>
        </w:rPr>
        <w:t xml:space="preserve">Enhance Product Energy Efficiency:</w:t>
      </w:r>
    </w:p>
    <w:p>
      <w:pPr>
        <w:numPr>
          <w:ilvl w:val="1"/>
          <w:numId w:val="1020"/>
        </w:numPr>
        <w:pStyle w:val="Compact"/>
      </w:pPr>
      <w:r>
        <w:t xml:space="preserve">Redesign wviqrqvqtn to significantly reduce its energy consumption during the use phase.</w:t>
      </w:r>
    </w:p>
    <w:p>
      <w:pPr>
        <w:numPr>
          <w:ilvl w:val="1"/>
          <w:numId w:val="1020"/>
        </w:numPr>
        <w:pStyle w:val="Compact"/>
      </w:pPr>
      <w:r>
        <w:t xml:space="preserve">Provide clear guidance to consumers on energy-saving usage patterns.</w:t>
      </w:r>
    </w:p>
    <w:p>
      <w:pPr>
        <w:numPr>
          <w:ilvl w:val="0"/>
          <w:numId w:val="1018"/>
        </w:numPr>
        <w:pStyle w:val="Compact"/>
      </w:pPr>
      <w:r>
        <w:rPr>
          <w:bCs/>
          <w:b/>
        </w:rPr>
        <w:t xml:space="preserve">Sustainable Material Sourcing:</w:t>
      </w:r>
    </w:p>
    <w:p>
      <w:pPr>
        <w:numPr>
          <w:ilvl w:val="1"/>
          <w:numId w:val="1021"/>
        </w:numPr>
        <w:pStyle w:val="Compact"/>
      </w:pPr>
      <w:r>
        <w:t xml:space="preserve">Continue to prioritize recycled content (e.g., in plastics and cardboard).</w:t>
      </w:r>
    </w:p>
    <w:p>
      <w:pPr>
        <w:numPr>
          <w:ilvl w:val="1"/>
          <w:numId w:val="1021"/>
        </w:numPr>
        <w:pStyle w:val="Compact"/>
      </w:pPr>
      <w:r>
        <w:t xml:space="preserve">Explore opportunities for lower-carbon primary materials or alternative materials with reduced footprints (e.g., lower-carbon aluminum).</w:t>
      </w:r>
    </w:p>
    <w:p>
      <w:pPr>
        <w:numPr>
          <w:ilvl w:val="1"/>
          <w:numId w:val="1021"/>
        </w:numPr>
        <w:pStyle w:val="Compact"/>
      </w:pPr>
      <w:r>
        <w:t xml:space="preserve">Engage with suppliers to improve transparency and reduce emissions in upstream material production.</w:t>
      </w:r>
    </w:p>
    <w:p>
      <w:pPr>
        <w:numPr>
          <w:ilvl w:val="0"/>
          <w:numId w:val="1018"/>
        </w:numPr>
        <w:pStyle w:val="Compact"/>
      </w:pPr>
      <w:r>
        <w:rPr>
          <w:bCs/>
          <w:b/>
        </w:rPr>
        <w:t xml:space="preserve">Increase Renewable Energy Adoption:</w:t>
      </w:r>
    </w:p>
    <w:p>
      <w:pPr>
        <w:numPr>
          <w:ilvl w:val="1"/>
          <w:numId w:val="1022"/>
        </w:numPr>
        <w:pStyle w:val="Compact"/>
      </w:pPr>
      <w:r>
        <w:t xml:space="preserve">Expand the use of renewable energy at the manufacturing facility in China beyond the current 75%, aiming for 100% where possible.</w:t>
      </w:r>
    </w:p>
    <w:p>
      <w:pPr>
        <w:numPr>
          <w:ilvl w:val="1"/>
          <w:numId w:val="1022"/>
        </w:numPr>
        <w:pStyle w:val="Compact"/>
      </w:pPr>
      <w:r>
        <w:t xml:space="preserve">Consider renewable energy procurement strategies for contract manufacturers.</w:t>
      </w:r>
    </w:p>
    <w:p>
      <w:pPr>
        <w:numPr>
          <w:ilvl w:val="0"/>
          <w:numId w:val="1018"/>
        </w:numPr>
        <w:pStyle w:val="Compact"/>
      </w:pPr>
      <w:r>
        <w:rPr>
          <w:bCs/>
          <w:b/>
        </w:rPr>
        <w:t xml:space="preserve">Strengthen Circular Economy Initiatives:</w:t>
      </w:r>
    </w:p>
    <w:p>
      <w:pPr>
        <w:numPr>
          <w:ilvl w:val="1"/>
          <w:numId w:val="1023"/>
        </w:numPr>
        <w:pStyle w:val="Compact"/>
      </w:pPr>
      <w:r>
        <w:t xml:space="preserve">Further develop and promote the existing `ixromkfsvw` (Circular/Take-back Programs) to maximize material recovery and reuse.</w:t>
      </w:r>
    </w:p>
    <w:p>
      <w:pPr>
        <w:numPr>
          <w:ilvl w:val="1"/>
          <w:numId w:val="1023"/>
        </w:numPr>
        <w:pStyle w:val="Compact"/>
      </w:pPr>
      <w:r>
        <w:t xml:space="preserve">Explore design-for-disassembly and repairability to extend product lifespan and facilitate component reuse.</w:t>
      </w:r>
    </w:p>
    <w:p>
      <w:r>
        <w:pict>
          <v:rect style="width:0;height:1.5pt" o:hralign="center" o:hrstd="t" o:hr="t"/>
        </w:pict>
      </w:r>
    </w:p>
    <w:p>
      <w:pPr>
        <w:pStyle w:val="FirstParagraph"/>
      </w:pPr>
      <w:r>
        <w:t xml:space="preserve">Confidential - Internal Use Only | Page</w:t>
      </w:r>
      <w:r>
        <w:t xml:space="preserve"> </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wviqrqvqtn</dc:title>
  <dc:creator/>
  <dc:description>High-detail Product Carbon Footprint (PCF) analysis report for wviqrqvqtn by iohirqxhrz, adhering to GHG Protocol and 2026 LSR Update, prepared by Senior Sustainability Consultant rhuoyvitej.</dc:description>
  <dc:language>en</dc:language>
  <cp:keywords/>
  <dcterms:created xsi:type="dcterms:W3CDTF">2026-07-15T09:22:25Z</dcterms:created>
  <dcterms:modified xsi:type="dcterms:W3CDTF">2026-07-15T09:22:25Z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