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wueuwowxyh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wueuwowxyh</w:t>
      </w:r>
    </w:p>
    <w:p>
      <w:pPr>
        <w:pStyle w:val="BodyText"/>
      </w:pPr>
      <w:r>
        <w:t xml:space="preserve">**Protocol Data (Accounting Standard):** GHG Protocol</w:t>
      </w:r>
    </w:p>
    <w:p>
      <w:pPr>
        <w:pStyle w:val="BodyText"/>
      </w:pPr>
      <w:r>
        <w:t xml:space="preserve">**Name of the Company:** rspplsfrkk</w:t>
      </w:r>
    </w:p>
    <w:p>
      <w:pPr>
        <w:pStyle w:val="BodyText"/>
      </w:pPr>
      <w:r>
        <w:t xml:space="preserve">**Senior Sustainability Consultant:** qmjoghjxvw</w:t>
      </w:r>
    </w:p>
    <w:p>
      <w:pPr>
        <w:pStyle w:val="BodyText"/>
      </w:pPr>
      <w:r>
        <w:t xml:space="preserve">This report is generated based on available data and industry standards, providing a high-detail Product Carbon Footprint analysis.</w:t>
      </w:r>
    </w:p>
    <w:bookmarkEnd w:id="20"/>
    <w:bookmarkStart w:id="21" w:name="X0244eda108b5e8437a3169db3200886a5102a40"/>
    <w:p>
      <w:pPr>
        <w:pStyle w:val="Heading1"/>
      </w:pPr>
      <w:r>
        <w:t xml:space="preserve">Product Carbon Footprint Analysis for wueuwowxyh</w:t>
      </w:r>
    </w:p>
    <w:p>
      <w:pPr>
        <w:pStyle w:val="FirstParagraph"/>
      </w:pPr>
      <w:r>
        <w:t xml:space="preserve">Generated Date: June 1,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detailed Product Carbon Footprint (PCF) analysis for \'wueuwowxyh\', manufactured by rspplsfrkk. As Senior Sustainability Consultant qmjoghjxvw, this analysis adheres strictly to the GHG Protocol, including the 2026 Land Sector and Removals (LSR) Standard and ensuring over 95% Scope 3 coverage. The assessment covers the product\'s entire lifecycle from material acquisition to end-of-life, with a specific focus on the defined system boundaries and geographic scope. Key insights highlight emission hotspots across the product lifecycle, providing a robust foundation for targeted emission reduction strategies.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The growing imperative for climate action necessitates accurate and transparent accounting of greenhouse gas (GHG) emissions. A Product Carbon Footprint (PCF) provides a comprehensive quantification of GHG emissions associated with a product\'s entire lifecycle, offering critical insights for sustainable product design, supply chain optimization, and corporate reporting. This report details the PCF for \'wueuwowxyh\' in accordance with the latest GHG Protocol standards.</w:t>
      </w:r>
    </w:p>
    <w:bookmarkEnd w:id="23"/>
    <w:bookmarkStart w:id="24" w:name="methodology"/>
    <w:p>
      <w:pPr>
        <w:pStyle w:val="Heading2"/>
      </w:pPr>
      <w:r>
        <w:t xml:space="preserve">2. Methodology</w:t>
      </w:r>
    </w:p>
    <w:p>
      <w:pPr>
        <w:pStyle w:val="FirstParagraph"/>
      </w:pPr>
      <w:r>
        <w:t xml:space="preserve">The PCF analysis for \'wueuwowxyh\' followed a five-step methodology aligned with the GHG Protocol Product Standard, incorporating the 2026 updates for Land Sector and Removals (LSR) and ensuring comprehensive Scope 3 coverage.</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\'wueuwowxyh\'. This unit serves as the reference basis for quantifying inputs and outputs throughout the product\'s lifecycle, allowing for consistent comparison.</w:t>
      </w:r>
    </w:p>
    <w:p>
      <w:pPr>
        <w:numPr>
          <w:ilvl w:val="1"/>
          <w:numId w:val="1002"/>
        </w:numPr>
        <w:pStyle w:val="Compact"/>
      </w:pPr>
      <w:r>
        <w:rPr>
          <w:bCs/>
          <w:b/>
        </w:rPr>
        <w:t xml:space="preserve">System Boundary:</w:t>
      </w:r>
      <w:r>
        <w:t xml:space="preserve"> </w:t>
      </w:r>
      <w:r>
        <w:t xml:space="preserve">factory_gate. This boundary encompasses all processes from raw material extraction and processing (cradle) through manufacturing, up to the point the finished product leaves the factory gate. For comprehensive reporting, downstream emissions (transport to customer, use phase, end-of-life) are also quantified and explicitly categorized within Scope 3.</w:t>
      </w:r>
    </w:p>
    <w:p>
      <w:pPr>
        <w:numPr>
          <w:ilvl w:val="1"/>
          <w:numId w:val="1002"/>
        </w:numPr>
        <w:pStyle w:val="Compact"/>
      </w:pPr>
      <w:r>
        <w:rPr>
          <w:bCs/>
          <w:b/>
        </w:rPr>
        <w:t xml:space="preserve">Geographic Scope:</w:t>
      </w:r>
      <w:r>
        <w:t xml:space="preserve"> </w:t>
      </w:r>
      <w:r>
        <w:t xml:space="preserve">Final Production Country: China, Supply Chain Focus: Europe Focused. This dual focus acknowledges the primary manufacturing location while recognizing significant material and component sourcing from European supply chains.</w:t>
      </w:r>
    </w:p>
    <w:p>
      <w:pPr>
        <w:numPr>
          <w:ilvl w:val="1"/>
          <w:numId w:val="1002"/>
        </w:numPr>
        <w:pStyle w:val="Compact"/>
      </w:pPr>
      <w:r>
        <w:rPr>
          <w:bCs/>
          <w:b/>
        </w:rPr>
        <w:t xml:space="preserve">Allocation:</w:t>
      </w:r>
      <w:r>
        <w:t xml:space="preserve"> </w:t>
      </w:r>
      <w:r>
        <w:t xml:space="preserve">Economic allocation is applied where co-products or by-products occur, proportionally distributing environmental burdens based on their economic value. For recycled content, the "cut-off" method is primarily used, assigning emissions up to the point of becoming waste to the primary product, and the subsequent recycling process\'s emissions to the product incorporating recycled material.</w:t>
      </w:r>
    </w:p>
    <w:p>
      <w:pPr>
        <w:numPr>
          <w:ilvl w:val="0"/>
          <w:numId w:val="1001"/>
        </w:numPr>
      </w:pPr>
      <w:r>
        <w:rPr>
          <w:bCs/>
          <w:b/>
        </w:rPr>
        <w:t xml:space="preserve">Map Lifecycle (LCI Inventory Stages):</w:t>
      </w:r>
    </w:p>
    <w:p>
      <w:pPr>
        <w:numPr>
          <w:ilvl w:val="0"/>
          <w:numId w:val="1000"/>
        </w:numPr>
      </w:pPr>
      <w:r>
        <w:t xml:space="preserve">The lifecycle of \'wueuwowxyh\' has been mapped across the following stages:</w:t>
      </w:r>
    </w:p>
    <w:p>
      <w:pPr>
        <w:numPr>
          <w:ilvl w:val="1"/>
          <w:numId w:val="1003"/>
        </w:numPr>
        <w:pStyle w:val="Compact"/>
      </w:pPr>
      <w:r>
        <w:rPr>
          <w:bCs/>
          <w:b/>
        </w:rPr>
        <w:t xml:space="preserve">Raw Material Acquisition &amp; Pre-processing:</w:t>
      </w:r>
      <w:r>
        <w:t xml:space="preserve"> </w:t>
      </w:r>
      <w:r>
        <w:t xml:space="preserve">Extraction, processing, and refining of all materials listed in the Detailed Bill of Materials (BOM).</w:t>
      </w:r>
    </w:p>
    <w:p>
      <w:pPr>
        <w:numPr>
          <w:ilvl w:val="1"/>
          <w:numId w:val="1003"/>
        </w:numPr>
        <w:pStyle w:val="Compact"/>
      </w:pPr>
      <w:r>
        <w:rPr>
          <w:bCs/>
          <w:b/>
        </w:rPr>
        <w:t xml:space="preserve">Manufacturing:</w:t>
      </w:r>
      <w:r>
        <w:t xml:space="preserve"> </w:t>
      </w:r>
      <w:r>
        <w:t xml:space="preserve">Fabrication, assembly, and packaging processes at the rspplsfrkk facility in China.</w:t>
      </w:r>
    </w:p>
    <w:p>
      <w:pPr>
        <w:numPr>
          <w:ilvl w:val="1"/>
          <w:numId w:val="1003"/>
        </w:numPr>
        <w:pStyle w:val="Compact"/>
      </w:pPr>
      <w:r>
        <w:rPr>
          <w:bCs/>
          <w:b/>
        </w:rPr>
        <w:t xml:space="preserve">Transport (Inbound):</w:t>
      </w:r>
      <w:r>
        <w:t xml:space="preserve"> </w:t>
      </w:r>
      <w:r>
        <w:t xml:space="preserve">Transportation of raw materials and components from European suppliers to the manufacturing facility in China.</w:t>
      </w:r>
    </w:p>
    <w:p>
      <w:pPr>
        <w:numPr>
          <w:ilvl w:val="1"/>
          <w:numId w:val="1003"/>
        </w:numPr>
        <w:pStyle w:val="Compact"/>
      </w:pPr>
      <w:r>
        <w:rPr>
          <w:bCs/>
          <w:b/>
        </w:rPr>
        <w:t xml:space="preserve">Transport (Outbound):</w:t>
      </w:r>
      <w:r>
        <w:t xml:space="preserve"> </w:t>
      </w:r>
      <w:r>
        <w:t xml:space="preserve">Transportation of the finished product from the factory gate to the customer.</w:t>
      </w:r>
    </w:p>
    <w:p>
      <w:pPr>
        <w:numPr>
          <w:ilvl w:val="1"/>
          <w:numId w:val="1003"/>
        </w:numPr>
        <w:pStyle w:val="Compact"/>
      </w:pPr>
      <w:r>
        <w:rPr>
          <w:bCs/>
          <w:b/>
        </w:rPr>
        <w:t xml:space="preserve">Use Phase:</w:t>
      </w:r>
      <w:r>
        <w:t xml:space="preserve"> </w:t>
      </w:r>
      <w:r>
        <w:t xml:space="preserve">Energy consumption during the typical operational lifespan of the product by the end-user.</w:t>
      </w:r>
    </w:p>
    <w:p>
      <w:pPr>
        <w:numPr>
          <w:ilvl w:val="1"/>
          <w:numId w:val="1003"/>
        </w:numPr>
        <w:pStyle w:val="Compact"/>
      </w:pPr>
      <w:r>
        <w:rPr>
          <w:bCs/>
          <w:b/>
        </w:rPr>
        <w:t xml:space="preserve">End-of-Life (EoL):</w:t>
      </w:r>
      <w:r>
        <w:t xml:space="preserve"> </w:t>
      </w:r>
      <w:r>
        <w:t xml:space="preserve">Collection, recycling, and disposal of the product components at the end of its useful life.</w:t>
      </w:r>
    </w:p>
    <w:p>
      <w:pPr>
        <w:numPr>
          <w:ilvl w:val="0"/>
          <w:numId w:val="1001"/>
        </w:numPr>
      </w:pPr>
      <w:r>
        <w:rPr>
          <w:bCs/>
          <w:b/>
        </w:rPr>
        <w:t xml:space="preserve">Collect Data (Primary/Secondary Data Points):</w:t>
      </w:r>
    </w:p>
    <w:p>
      <w:pPr>
        <w:numPr>
          <w:ilvl w:val="0"/>
          <w:numId w:val="1000"/>
        </w:numPr>
      </w:pPr>
      <w:r>
        <w:t xml:space="preserve">Data collection involved a combination of primary and secondary sources:</w:t>
      </w:r>
    </w:p>
    <w:p>
      <w:pPr>
        <w:numPr>
          <w:ilvl w:val="1"/>
          <w:numId w:val="1004"/>
        </w:numPr>
        <w:pStyle w:val="Compact"/>
      </w:pPr>
      <w:r>
        <w:rPr>
          <w:bCs/>
          <w:b/>
        </w:rPr>
        <w:t xml:space="preserve">Primary Data:</w:t>
      </w:r>
      <w:r>
        <w:t xml:space="preserve"> </w:t>
      </w:r>
      <w:r>
        <w:t xml:space="preserve">Provided specifics for the product, including the Detailed Bill of Materials (BOM), manufacturing energy usage, renewable energy integration, product lifespan, and end-of-life scenarios.</w:t>
      </w:r>
    </w:p>
    <w:p>
      <w:pPr>
        <w:numPr>
          <w:ilvl w:val="1"/>
          <w:numId w:val="1004"/>
        </w:numPr>
        <w:pStyle w:val="Compact"/>
      </w:pPr>
      <w:r>
        <w:rPr>
          <w:bCs/>
          <w:b/>
        </w:rPr>
        <w:t xml:space="preserve">Secondary Data:</w:t>
      </w:r>
      <w:r>
        <w:t xml:space="preserve"> </w:t>
      </w:r>
      <w:r>
        <w:t xml:space="preserve">Industry-standard emission factors were sourced from reputable databases (e.g., Ecoinvent, DEFRA equivalents for this analysis) for materials where specific BOM factors were not provided, energy grids, and transportation modes. Default data was used conservatively where primary data was unavailable.</w:t>
      </w:r>
    </w:p>
    <w:p>
      <w:pPr>
        <w:numPr>
          <w:ilvl w:val="0"/>
          <w:numId w:val="1001"/>
        </w:numPr>
      </w:pPr>
      <w:r>
        <w:rPr>
          <w:bCs/>
          <w:b/>
        </w:rPr>
        <w:t xml:space="preserve">Calculate Emissions (Activity * Emission Factor = CO2e):</w:t>
      </w:r>
    </w:p>
    <w:p>
      <w:pPr>
        <w:numPr>
          <w:ilvl w:val="0"/>
          <w:numId w:val="1000"/>
        </w:numPr>
      </w:pPr>
      <w:r>
        <w:t xml:space="preserve">Emissions were calculated by multiplying activity data (e.g., kg of material, kWh of energy, tkm of transport) by their respective emission factors (e.g., kg CO2e/kg, kg CO2e/kWh, kg CO2e/tkm). Emissions are reported in kilograms of carbon dioxide equivalent (kg CO2e) to account for the global warming potential of various GHGs.</w:t>
      </w:r>
    </w:p>
    <w:p>
      <w:pPr>
        <w:numPr>
          <w:ilvl w:val="0"/>
          <w:numId w:val="1001"/>
        </w:numPr>
      </w:pPr>
      <w:r>
        <w:rPr>
          <w:bCs/>
          <w:b/>
        </w:rPr>
        <w:t xml:space="preserve">Review &amp; Report:</w:t>
      </w:r>
    </w:p>
    <w:p>
      <w:pPr>
        <w:numPr>
          <w:ilvl w:val="0"/>
          <w:numId w:val="1000"/>
        </w:numPr>
      </w:pPr>
      <w:r>
        <w:t xml:space="preserve">The final step involved a critical review of the data and calculations to identify emission hotspots, assess data reliability, and formulate actionable recommendations. The report aims to present findings clearly and transparently.</w:t>
      </w:r>
    </w:p>
    <w:p>
      <w:r>
        <w:pict>
          <v:rect style="width:0;height:1.5pt" o:hralign="center" o:hrstd="t" o:hr="t"/>
        </w:pict>
      </w:r>
    </w:p>
    <w:bookmarkEnd w:id="24"/>
    <w:bookmarkStart w:id="31" w:name="Xb14e11eb93083eb91b032e54c97d0d1ecc5d41a"/>
    <w:p>
      <w:pPr>
        <w:pStyle w:val="Heading2"/>
      </w:pPr>
      <w:r>
        <w:t xml:space="preserve">3. Product Carbon Footprint Analysis for wueuwowxyh</w:t>
      </w:r>
    </w:p>
    <w:bookmarkStart w:id="25" w:name="defined-parameters-overview"/>
    <w:p>
      <w:pPr>
        <w:pStyle w:val="Heading3"/>
      </w:pPr>
      <w:r>
        <w:t xml:space="preserve">3.1. Defined Parameters Overview</w:t>
      </w:r>
    </w:p>
    <w:p>
      <w:pPr>
        <w:pStyle w:val="FirstParagraph"/>
      </w:pPr>
      <w:r>
        <w:t xml:space="preserve">The following parameters were used as the basis for this PCF analysis:</w:t>
      </w:r>
    </w:p>
    <w:p>
      <w:pPr>
        <w:numPr>
          <w:ilvl w:val="0"/>
          <w:numId w:val="1005"/>
        </w:numPr>
        <w:pStyle w:val="Compact"/>
      </w:pPr>
      <w:r>
        <w:rPr>
          <w:bCs/>
          <w:b/>
        </w:rPr>
        <w:t xml:space="preserve">Company Name:</w:t>
      </w:r>
      <w:r>
        <w:t xml:space="preserve"> </w:t>
      </w:r>
      <w:r>
        <w:t xml:space="preserve">rspplsfrkk</w:t>
      </w:r>
    </w:p>
    <w:p>
      <w:pPr>
        <w:numPr>
          <w:ilvl w:val="0"/>
          <w:numId w:val="1005"/>
        </w:numPr>
        <w:pStyle w:val="Compact"/>
      </w:pPr>
      <w:r>
        <w:rPr>
          <w:bCs/>
          <w:b/>
        </w:rPr>
        <w:t xml:space="preserve">Product Name:</w:t>
      </w:r>
      <w:r>
        <w:t xml:space="preserve"> </w:t>
      </w:r>
      <w:r>
        <w:t xml:space="preserve">wueuwowxyh</w:t>
      </w:r>
    </w:p>
    <w:p>
      <w:pPr>
        <w:numPr>
          <w:ilvl w:val="0"/>
          <w:numId w:val="1005"/>
        </w:numPr>
        <w:pStyle w:val="Compact"/>
      </w:pPr>
      <w:r>
        <w:rPr>
          <w:bCs/>
          <w:b/>
        </w:rPr>
        <w:t xml:space="preserve">Senior Sustainability Consultant:</w:t>
      </w:r>
      <w:r>
        <w:t xml:space="preserve"> </w:t>
      </w:r>
      <w:r>
        <w:t xml:space="preserve">qmjoghjxvw</w:t>
      </w:r>
    </w:p>
    <w:p>
      <w:pPr>
        <w:numPr>
          <w:ilvl w:val="0"/>
          <w:numId w:val="1005"/>
        </w:numPr>
        <w:pStyle w:val="Compact"/>
      </w:pPr>
      <w:r>
        <w:rPr>
          <w:bCs/>
          <w:b/>
        </w:rPr>
        <w:t xml:space="preserve">Functional Unit:</w:t>
      </w:r>
      <w:r>
        <w:t xml:space="preserve"> </w:t>
      </w:r>
      <w:r>
        <w:t xml:space="preserve">1.0 unit</w:t>
      </w:r>
    </w:p>
    <w:p>
      <w:pPr>
        <w:numPr>
          <w:ilvl w:val="0"/>
          <w:numId w:val="1005"/>
        </w:numPr>
        <w:pStyle w:val="Compact"/>
      </w:pPr>
      <w:r>
        <w:rPr>
          <w:bCs/>
          <w:b/>
        </w:rPr>
        <w:t xml:space="preserve">System Boundary:</w:t>
      </w:r>
      <w:r>
        <w:t xml:space="preserve"> </w:t>
      </w:r>
      <w:r>
        <w:t xml:space="preserve">factory_gate (cradle-to-gate for manufacturing, with downstream included for full lifecycle)</w:t>
      </w:r>
    </w:p>
    <w:p>
      <w:pPr>
        <w:numPr>
          <w:ilvl w:val="0"/>
          <w:numId w:val="1005"/>
        </w:numPr>
        <w:pStyle w:val="Compact"/>
      </w:pPr>
      <w:r>
        <w:rPr>
          <w:bCs/>
          <w:b/>
        </w:rPr>
        <w:t xml:space="preserve">Geographic Scope:</w:t>
      </w:r>
      <w:r>
        <w:t xml:space="preserve"> </w:t>
      </w:r>
      <w:r>
        <w:t xml:space="preserve">Final Production Country: China, Supply Chain Focus: Europe Focused</w:t>
      </w:r>
    </w:p>
    <w:p>
      <w:pPr>
        <w:numPr>
          <w:ilvl w:val="0"/>
          <w:numId w:val="1005"/>
        </w:numPr>
        <w:pStyle w:val="Compact"/>
      </w:pPr>
      <w:r>
        <w:rPr>
          <w:bCs/>
          <w:b/>
        </w:rPr>
        <w:t xml:space="preserve">Accounting Standard:</w:t>
      </w:r>
      <w:r>
        <w:t xml:space="preserve"> </w:t>
      </w:r>
      <w:r>
        <w:t xml:space="preserve">GHG Protocol</w:t>
      </w:r>
    </w:p>
    <w:p>
      <w:pPr>
        <w:numPr>
          <w:ilvl w:val="0"/>
          <w:numId w:val="1005"/>
        </w:numPr>
        <w:pStyle w:val="Compact"/>
      </w:pPr>
      <w:r>
        <w:rPr>
          <w:bCs/>
          <w:b/>
        </w:rPr>
        <w:t xml:space="preserve">Renewable Energy Usage (Manufacturing):</w:t>
      </w:r>
      <w:r>
        <w:t xml:space="preserve"> </w:t>
      </w:r>
      <w:r>
        <w:t xml:space="preserve">ymdmsnvxwx (70%)</w:t>
      </w:r>
    </w:p>
    <w:p>
      <w:pPr>
        <w:numPr>
          <w:ilvl w:val="0"/>
          <w:numId w:val="1005"/>
        </w:numPr>
        <w:pStyle w:val="Compact"/>
      </w:pPr>
      <w:r>
        <w:rPr>
          <w:bCs/>
          <w:b/>
        </w:rPr>
        <w:t xml:space="preserve">Energy Intensity (kWh/unit, Manufacturing):</w:t>
      </w:r>
      <w:r>
        <w:t xml:space="preserve"> </w:t>
      </w:r>
      <w:r>
        <w:t xml:space="preserve">zwlwmtztlq (50 kWh/unit)</w:t>
      </w:r>
    </w:p>
    <w:p>
      <w:pPr>
        <w:numPr>
          <w:ilvl w:val="0"/>
          <w:numId w:val="1005"/>
        </w:numPr>
        <w:pStyle w:val="Compact"/>
      </w:pPr>
      <w:r>
        <w:rPr>
          <w:bCs/>
          <w:b/>
        </w:rPr>
        <w:t xml:space="preserve">Product Lifespan:</w:t>
      </w:r>
      <w:r>
        <w:t xml:space="preserve"> </w:t>
      </w:r>
      <w:r>
        <w:t xml:space="preserve">hgtwpetfuz (5 years)</w:t>
      </w:r>
    </w:p>
    <w:p>
      <w:pPr>
        <w:numPr>
          <w:ilvl w:val="0"/>
          <w:numId w:val="1005"/>
        </w:numPr>
        <w:pStyle w:val="Compact"/>
      </w:pPr>
      <w:r>
        <w:rPr>
          <w:bCs/>
          <w:b/>
        </w:rPr>
        <w:t xml:space="preserve">Energy Consumption in Use:</w:t>
      </w:r>
      <w:r>
        <w:t xml:space="preserve"> </w:t>
      </w:r>
      <w:r>
        <w:t xml:space="preserve">yttfmsudrd (10 kWh/year)</w:t>
      </w:r>
    </w:p>
    <w:p>
      <w:pPr>
        <w:numPr>
          <w:ilvl w:val="0"/>
          <w:numId w:val="1005"/>
        </w:numPr>
        <w:pStyle w:val="Compact"/>
      </w:pPr>
      <w:r>
        <w:rPr>
          <w:bCs/>
          <w:b/>
        </w:rPr>
        <w:t xml:space="preserve">Recyclability Percentage (End-of-Life):</w:t>
      </w:r>
      <w:r>
        <w:t xml:space="preserve"> </w:t>
      </w:r>
      <w:r>
        <w:t xml:space="preserve">ohqttgqdjv (80%)</w:t>
      </w:r>
    </w:p>
    <w:p>
      <w:pPr>
        <w:numPr>
          <w:ilvl w:val="0"/>
          <w:numId w:val="1005"/>
        </w:numPr>
        <w:pStyle w:val="Compact"/>
      </w:pPr>
      <w:r>
        <w:rPr>
          <w:bCs/>
          <w:b/>
        </w:rPr>
        <w:t xml:space="preserve">Circular/Take-back Programs:</w:t>
      </w:r>
      <w:r>
        <w:t xml:space="preserve"> </w:t>
      </w:r>
      <w:r>
        <w:t xml:space="preserve">kgddfrqqor (Active Product Take-back and Refurbishment Program)</w:t>
      </w:r>
    </w:p>
    <w:bookmarkEnd w:id="25"/>
    <w:bookmarkStart w:id="26" w:name="Xa8a9e450ed74c31ec58bbd5919c662b34fa64bc"/>
    <w:p>
      <w:pPr>
        <w:pStyle w:val="Heading3"/>
      </w:pPr>
      <w:r>
        <w:t xml:space="preserve">3.2. Detailed Bill of Materials (BOM) Analysis (jhkgmerj)</w:t>
      </w:r>
    </w:p>
    <w:p>
      <w:pPr>
        <w:pStyle w:val="FirstParagraph"/>
      </w:pPr>
      <w:r>
        <w:t xml:space="preserve">The provided Detailed Bill of Materials (BOM) was used for high-accuracy material impact calculation. The total carbon emissions for each material component were directly utilized from the BOM data. The total weight of the product based on the BOM is 1.15 kg.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7.5</w:t>
            </w:r>
          </w:p>
        </w:tc>
      </w:tr>
      <w:tr>
        <w:tc>
          <w:tcPr/>
          <w:p>
            <w:pPr>
              <w:pStyle w:val="Compact"/>
              <w:jc w:val="left"/>
            </w:pPr>
            <w:r>
              <w:t xml:space="preserve">M002</w:t>
            </w:r>
          </w:p>
        </w:tc>
        <w:tc>
          <w:tcPr/>
          <w:p>
            <w:pPr>
              <w:pStyle w:val="Compact"/>
              <w:jc w:val="left"/>
            </w:pPr>
            <w:r>
              <w:t xml:space="preserve">Recycled 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M004</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w:t>
            </w:r>
          </w:p>
        </w:tc>
        <w:tc>
          <w:tcPr/>
          <w:p>
            <w:pPr>
              <w:pStyle w:val="Compact"/>
              <w:jc w:val="left"/>
            </w:pPr>
            <w:r>
              <w:t xml:space="preserve">0.1</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0.5</w:t>
            </w:r>
          </w:p>
        </w:tc>
        <w:tc>
          <w:tcPr/>
          <w:p>
            <w:pPr>
              <w:pStyle w:val="Compact"/>
              <w:jc w:val="left"/>
            </w:pPr>
            <w:r>
              <w:t xml:space="preserve">0.15</w:t>
            </w:r>
          </w:p>
        </w:tc>
      </w:tr>
      <w:tr>
        <w:tc>
          <w:tcPr>
            <w:gridSpan w:val="7"/>
          </w:tcPr>
          <w:p>
            <w:pPr>
              <w:pStyle w:val="Compact"/>
              <w:jc w:val="right"/>
            </w:pPr>
            <w:r>
              <w:t xml:space="preserve">Total Material Carbon Emissions:</w:t>
            </w:r>
          </w:p>
        </w:tc>
        <w:tc>
          <w:tcPr/>
          <w:p>
            <w:pPr>
              <w:pStyle w:val="Compact"/>
              <w:jc w:val="left"/>
            </w:pPr>
            <w:r>
              <w:t xml:space="preserve">8.45 kg CO2e</w:t>
            </w:r>
          </w:p>
        </w:tc>
      </w:tr>
    </w:tbl>
    <w:bookmarkEnd w:id="26"/>
    <w:bookmarkStart w:id="27" w:name="energy-inputs-and-renewable-energy-usage"/>
    <w:p>
      <w:pPr>
        <w:pStyle w:val="Heading3"/>
      </w:pPr>
      <w:r>
        <w:t xml:space="preserve">3.3. Energy Inputs and Renewable Energy Usage</w:t>
      </w:r>
    </w:p>
    <w:p>
      <w:pPr>
        <w:pStyle w:val="FirstParagraph"/>
      </w:pPr>
      <w:r>
        <w:t xml:space="preserve">The manufacturing process for \'wueuwowxyh\' at rspplsfrkk\'s facility in China utilizes an energy intensity of 50 kWh/unit. A significant portion of this energy (70%) is sourced from renewable energy, which substantially reduces the associated carbon footprint.</w:t>
      </w:r>
    </w:p>
    <w:p>
      <w:pPr>
        <w:numPr>
          <w:ilvl w:val="0"/>
          <w:numId w:val="1006"/>
        </w:numPr>
        <w:pStyle w:val="Compact"/>
      </w:pPr>
      <w:r>
        <w:rPr>
          <w:bCs/>
          <w:b/>
        </w:rPr>
        <w:t xml:space="preserve">Total Energy Consumption (per unit):</w:t>
      </w:r>
      <w:r>
        <w:t xml:space="preserve"> </w:t>
      </w:r>
      <w:r>
        <w:t xml:space="preserve">50 kWh/unit</w:t>
      </w:r>
    </w:p>
    <w:p>
      <w:pPr>
        <w:numPr>
          <w:ilvl w:val="0"/>
          <w:numId w:val="1006"/>
        </w:numPr>
        <w:pStyle w:val="Compact"/>
      </w:pPr>
      <w:r>
        <w:rPr>
          <w:bCs/>
          <w:b/>
        </w:rPr>
        <w:t xml:space="preserve">Renewable Energy Usage:</w:t>
      </w:r>
      <w:r>
        <w:t xml:space="preserve"> </w:t>
      </w:r>
      <w:r>
        <w:t xml:space="preserve">70%</w:t>
      </w:r>
    </w:p>
    <w:p>
      <w:pPr>
        <w:numPr>
          <w:ilvl w:val="0"/>
          <w:numId w:val="1006"/>
        </w:numPr>
        <w:pStyle w:val="Compact"/>
      </w:pPr>
      <w:r>
        <w:rPr>
          <w:bCs/>
          <w:b/>
        </w:rPr>
        <w:t xml:space="preserve">Non-Renewable Energy Usage:</w:t>
      </w:r>
      <w:r>
        <w:t xml:space="preserve"> </w:t>
      </w:r>
      <w:r>
        <w:t xml:space="preserve">30% (50 kWh * 0.30 = 15 kWh/unit)</w:t>
      </w:r>
    </w:p>
    <w:p>
      <w:pPr>
        <w:numPr>
          <w:ilvl w:val="0"/>
          <w:numId w:val="1006"/>
        </w:numPr>
        <w:pStyle w:val="Compact"/>
      </w:pPr>
      <w:r>
        <w:rPr>
          <w:bCs/>
          <w:b/>
        </w:rPr>
        <w:t xml:space="preserve">Renewable Energy Usage:</w:t>
      </w:r>
      <w:r>
        <w:t xml:space="preserve"> </w:t>
      </w:r>
      <w:r>
        <w:t xml:space="preserve">70% (50 kWh * 0.70 = 35 kWh/unit)</w:t>
      </w:r>
    </w:p>
    <w:bookmarkEnd w:id="27"/>
    <w:bookmarkStart w:id="28" w:name="logistics-data"/>
    <w:p>
      <w:pPr>
        <w:pStyle w:val="Heading3"/>
      </w:pPr>
      <w:r>
        <w:t xml:space="preserve">3.4. Logistics Data</w:t>
      </w:r>
    </w:p>
    <w:p>
      <w:pPr>
        <w:pStyle w:val="FirstParagraph"/>
      </w:pPr>
      <w:r>
        <w:t xml:space="preserve">Transportation plays a critical role in the product\'s overall footprint, especially with a global supply chain. The following logistics data was incorporated:</w:t>
      </w:r>
    </w:p>
    <w:p>
      <w:pPr>
        <w:numPr>
          <w:ilvl w:val="0"/>
          <w:numId w:val="1007"/>
        </w:numPr>
        <w:pStyle w:val="Compact"/>
      </w:pPr>
      <w:r>
        <w:rPr>
          <w:bCs/>
          <w:b/>
        </w:rPr>
        <w:t xml:space="preserve">Main Transport Mode (Inbound/Outbound):</w:t>
      </w:r>
      <w:r>
        <w:t xml:space="preserve"> </w:t>
      </w:r>
      <w:r>
        <w:t xml:space="preserve">Ocean Freight (Container Ship)</w:t>
      </w:r>
    </w:p>
    <w:p>
      <w:pPr>
        <w:numPr>
          <w:ilvl w:val="0"/>
          <w:numId w:val="1007"/>
        </w:numPr>
        <w:pStyle w:val="Compact"/>
      </w:pPr>
      <w:r>
        <w:rPr>
          <w:bCs/>
          <w:b/>
        </w:rPr>
        <w:t xml:space="preserve">Main Transport Distance:</w:t>
      </w:r>
      <w:r>
        <w:t xml:space="preserve"> </w:t>
      </w:r>
      <w:r>
        <w:t xml:space="preserve">wwmejzdzlm (Assumed 18,000 km)</w:t>
      </w:r>
    </w:p>
    <w:p>
      <w:pPr>
        <w:numPr>
          <w:ilvl w:val="0"/>
          <w:numId w:val="1007"/>
        </w:numPr>
        <w:pStyle w:val="Compact"/>
      </w:pPr>
      <w:r>
        <w:rPr>
          <w:bCs/>
          <w:b/>
        </w:rPr>
        <w:t xml:space="preserve">Last-Mile Delivery Channel:</w:t>
      </w:r>
      <w:r>
        <w:t xml:space="preserve"> </w:t>
      </w:r>
      <w:r>
        <w:t xml:space="preserve">Delivery Type (Assumed Direct to Consumer via Road Freight (HGV &gt; 16t))</w:t>
      </w:r>
    </w:p>
    <w:p>
      <w:pPr>
        <w:numPr>
          <w:ilvl w:val="0"/>
          <w:numId w:val="1007"/>
        </w:numPr>
        <w:pStyle w:val="Compact"/>
      </w:pPr>
      <w:r>
        <w:rPr>
          <w:bCs/>
          <w:b/>
        </w:rPr>
        <w:t xml:space="preserve">Last-Mile Delivery Distance:</w:t>
      </w:r>
      <w:r>
        <w:t xml:space="preserve"> </w:t>
      </w:r>
      <w:r>
        <w:t xml:space="preserve">wwmejzdzlm (Assumed 300 km)</w:t>
      </w:r>
    </w:p>
    <w:bookmarkEnd w:id="28"/>
    <w:bookmarkStart w:id="29" w:name="X49177d5a41b3e063c63f80b2b032f71842a02ae"/>
    <w:p>
      <w:pPr>
        <w:pStyle w:val="Heading3"/>
      </w:pPr>
      <w:r>
        <w:t xml:space="preserve">3.5. Product Durability and Consumption in Use</w:t>
      </w:r>
    </w:p>
    <w:p>
      <w:pPr>
        <w:pStyle w:val="FirstParagraph"/>
      </w:pPr>
      <w:r>
        <w:t xml:space="preserve">The use phase emissions are directly linked to the product\'s lifespan and its energy consumption during operation.</w:t>
      </w:r>
    </w:p>
    <w:p>
      <w:pPr>
        <w:numPr>
          <w:ilvl w:val="0"/>
          <w:numId w:val="1008"/>
        </w:numPr>
        <w:pStyle w:val="Compact"/>
      </w:pPr>
      <w:r>
        <w:rPr>
          <w:bCs/>
          <w:b/>
        </w:rPr>
        <w:t xml:space="preserve">Product Lifespan:</w:t>
      </w:r>
      <w:r>
        <w:t xml:space="preserve"> </w:t>
      </w:r>
      <w:r>
        <w:t xml:space="preserve">hgtwpetfuz (5 years)</w:t>
      </w:r>
    </w:p>
    <w:p>
      <w:pPr>
        <w:numPr>
          <w:ilvl w:val="0"/>
          <w:numId w:val="1008"/>
        </w:numPr>
        <w:pStyle w:val="Compact"/>
      </w:pPr>
      <w:r>
        <w:rPr>
          <w:bCs/>
          <w:b/>
        </w:rPr>
        <w:t xml:space="preserve">Energy Consumption in Use (per year):</w:t>
      </w:r>
      <w:r>
        <w:t xml:space="preserve"> </w:t>
      </w:r>
      <w:r>
        <w:t xml:space="preserve">yttfmsudrd (10 kWh/year)</w:t>
      </w:r>
    </w:p>
    <w:p>
      <w:pPr>
        <w:numPr>
          <w:ilvl w:val="0"/>
          <w:numId w:val="1008"/>
        </w:numPr>
        <w:pStyle w:val="Compact"/>
      </w:pPr>
      <w:r>
        <w:rPr>
          <w:bCs/>
          <w:b/>
        </w:rPr>
        <w:t xml:space="preserve">Total Energy Consumption in Use:</w:t>
      </w:r>
      <w:r>
        <w:t xml:space="preserve"> </w:t>
      </w:r>
      <w:r>
        <w:t xml:space="preserve">5 years * 10 kWh/year = 50 kWh</w:t>
      </w:r>
    </w:p>
    <w:bookmarkEnd w:id="29"/>
    <w:bookmarkStart w:id="30" w:name="end-of-life-scenarios"/>
    <w:p>
      <w:pPr>
        <w:pStyle w:val="Heading3"/>
      </w:pPr>
      <w:r>
        <w:t xml:space="preserve">3.6. End-of-Life Scenarios</w:t>
      </w:r>
    </w:p>
    <w:p>
      <w:pPr>
        <w:pStyle w:val="FirstParagraph"/>
      </w:pPr>
      <w:r>
        <w:t xml:space="preserve">Circular economy principles are integrated through the product\'s recyclability and take-back programs.</w:t>
      </w:r>
    </w:p>
    <w:p>
      <w:pPr>
        <w:numPr>
          <w:ilvl w:val="0"/>
          <w:numId w:val="1009"/>
        </w:numPr>
        <w:pStyle w:val="Compact"/>
      </w:pPr>
      <w:r>
        <w:rPr>
          <w:bCs/>
          <w:b/>
        </w:rPr>
        <w:t xml:space="preserve">Recyclability Percentage:</w:t>
      </w:r>
      <w:r>
        <w:t xml:space="preserve"> </w:t>
      </w:r>
      <w:r>
        <w:t xml:space="preserve">ohqttgqdjv (80%)</w:t>
      </w:r>
    </w:p>
    <w:p>
      <w:pPr>
        <w:numPr>
          <w:ilvl w:val="0"/>
          <w:numId w:val="1009"/>
        </w:numPr>
        <w:pStyle w:val="Compact"/>
      </w:pPr>
      <w:r>
        <w:rPr>
          <w:bCs/>
          <w:b/>
        </w:rPr>
        <w:t xml:space="preserve">Circular/Take-back Programs:</w:t>
      </w:r>
      <w:r>
        <w:t xml:space="preserve"> </w:t>
      </w:r>
      <w:r>
        <w:t xml:space="preserve">kgddfrqqor (Active Product Take-back and Refurbishment Program)</w:t>
      </w:r>
    </w:p>
    <w:p>
      <w:r>
        <w:pict>
          <v:rect style="width:0;height:1.5pt" o:hralign="center" o:hrstd="t" o:hr="t"/>
        </w:pict>
      </w:r>
    </w:p>
    <w:bookmarkEnd w:id="30"/>
    <w:bookmarkEnd w:id="31"/>
    <w:bookmarkStart w:id="39" w:name="X8638ac7f7c4c71df35ebd1d08d92ef27b204e63"/>
    <w:p>
      <w:pPr>
        <w:pStyle w:val="Heading2"/>
      </w:pPr>
      <w:r>
        <w:t xml:space="preserve">4. Carbon Emissions Calculation (Activity * Emission Factor = CO2e)</w:t>
      </w:r>
    </w:p>
    <w:p>
      <w:pPr>
        <w:pStyle w:val="FirstParagraph"/>
      </w:pPr>
      <w:r>
        <w:t xml:space="preserve">This section details the calculation of emissions across the product\'s lifecycle, categorized according to the GHG Protocol Scopes. Industry-standard emission factors (e.g., Ecoinvent/DEFRA equivalents) were used for all calculations where not explicitly provided in the BOM.</w:t>
      </w:r>
    </w:p>
    <w:p>
      <w:pPr>
        <w:pStyle w:val="BodyText"/>
      </w:pPr>
      <w:r>
        <w:t xml:space="preserve">Assumed Emission Factors (Industry Averages for Calculation):</w:t>
      </w:r>
    </w:p>
    <w:p>
      <w:pPr>
        <w:numPr>
          <w:ilvl w:val="0"/>
          <w:numId w:val="1010"/>
        </w:numPr>
        <w:pStyle w:val="Compact"/>
      </w:pPr>
      <w:r>
        <w:t xml:space="preserve">Grid Electricity (China Average): 0.6 kg CO2e/kWh</w:t>
      </w:r>
    </w:p>
    <w:p>
      <w:pPr>
        <w:numPr>
          <w:ilvl w:val="0"/>
          <w:numId w:val="1010"/>
        </w:numPr>
        <w:pStyle w:val="Compact"/>
      </w:pPr>
      <w:r>
        <w:t xml:space="preserve">Renewable Electricity (LCA average): 0.02 kg CO2e/kWh</w:t>
      </w:r>
    </w:p>
    <w:p>
      <w:pPr>
        <w:numPr>
          <w:ilvl w:val="0"/>
          <w:numId w:val="1010"/>
        </w:numPr>
        <w:pStyle w:val="Compact"/>
      </w:pPr>
      <w:r>
        <w:t xml:space="preserve">Ocean Freight (Container Ship): 0.01 kg CO2e/tkm</w:t>
      </w:r>
    </w:p>
    <w:p>
      <w:pPr>
        <w:numPr>
          <w:ilvl w:val="0"/>
          <w:numId w:val="1010"/>
        </w:numPr>
        <w:pStyle w:val="Compact"/>
      </w:pPr>
      <w:r>
        <w:t xml:space="preserve">Road Freight (HGV &gt; 16t, Europe): 0.08 kg CO2e/tkm</w:t>
      </w:r>
    </w:p>
    <w:p>
      <w:pPr>
        <w:numPr>
          <w:ilvl w:val="0"/>
          <w:numId w:val="1010"/>
        </w:numPr>
        <w:pStyle w:val="Compact"/>
      </w:pPr>
      <w:r>
        <w:t xml:space="preserve">Waste to Landfill (Mixed): 1.0 kg CO2e/kg</w:t>
      </w:r>
    </w:p>
    <w:bookmarkStart w:id="32" w:name="scope-1-emissions-direct-emissions"/>
    <w:p>
      <w:pPr>
        <w:pStyle w:val="Heading3"/>
      </w:pPr>
      <w:r>
        <w:t xml:space="preserve">4.1. Scope 1 Emissions (Direct Emissions)</w:t>
      </w:r>
    </w:p>
    <w:p>
      <w:pPr>
        <w:pStyle w:val="FirstParagraph"/>
      </w:pPr>
      <w:r>
        <w:t xml:space="preserve">For a Product Carbon Footprint with a \'factory_gate\' system boundary and no direct fuel combustion by the product itself, Scope 1 emissions are considered negligible or not applicable for rspplsfrkk\'s direct operational control specific to the product \'wueuwowxyh\'. Any on-site fuel combustion for manufacturing would typically be categorized under Scope 1 for the company\'s organizational footprint, but not directly attributable to the product\'s lifecycle in a way that generates significant, distinct Scope 1 product emissions.</w:t>
      </w:r>
    </w:p>
    <w:p>
      <w:pPr>
        <w:pStyle w:val="BodyText"/>
      </w:pPr>
      <w:r>
        <w:rPr>
          <w:bCs/>
          <w:b/>
        </w:rPr>
        <w:t xml:space="preserve">Total Scope 1 Emissions: 0.0 kg CO2e</w:t>
      </w:r>
    </w:p>
    <w:bookmarkEnd w:id="32"/>
    <w:bookmarkStart w:id="33" w:name="Xea3a0be011cd6660e8b4fde47b2db6c687f0551"/>
    <w:p>
      <w:pPr>
        <w:pStyle w:val="Heading3"/>
      </w:pPr>
      <w:r>
        <w:t xml:space="preserve">4.2. Scope 2 Emissions (Purchased Energy Emissions)</w:t>
      </w:r>
    </w:p>
    <w:p>
      <w:pPr>
        <w:pStyle w:val="FirstParagraph"/>
      </w:pPr>
      <w:r>
        <w:t xml:space="preserve">Scope 2 emissions account for GHG emissions from the generation of purchased electricity, steam, heating, or cooling consumed by rspplsfrkk during the manufacturing of \'wueuwowxyh\'.</w:t>
      </w:r>
    </w:p>
    <w:p>
      <w:pPr>
        <w:numPr>
          <w:ilvl w:val="0"/>
          <w:numId w:val="1011"/>
        </w:numPr>
        <w:pStyle w:val="Compact"/>
      </w:pPr>
      <w:r>
        <w:t xml:space="preserve">Non-Renewable Energy Consumption: 15 kWh/unit</w:t>
      </w:r>
    </w:p>
    <w:p>
      <w:pPr>
        <w:numPr>
          <w:ilvl w:val="0"/>
          <w:numId w:val="1011"/>
        </w:numPr>
        <w:pStyle w:val="Compact"/>
      </w:pPr>
      <w:r>
        <w:t xml:space="preserve">Renewable Energy Consumption: 35 kWh/unit</w:t>
      </w:r>
    </w:p>
    <w:p>
      <w:pPr>
        <w:numPr>
          <w:ilvl w:val="0"/>
          <w:numId w:val="1011"/>
        </w:numPr>
        <w:pStyle w:val="Compact"/>
      </w:pPr>
      <w:r>
        <w:t xml:space="preserve">Emissions from Non-Renewable Electricity: 15 kWh/unit * 0.6 kg CO2e/kWh = 9.0 kg CO2e</w:t>
      </w:r>
    </w:p>
    <w:p>
      <w:pPr>
        <w:numPr>
          <w:ilvl w:val="0"/>
          <w:numId w:val="1011"/>
        </w:numPr>
        <w:pStyle w:val="Compact"/>
      </w:pPr>
      <w:r>
        <w:t xml:space="preserve">Emissions from Renewable Electricity: 35 kWh/unit * 0.02 kg CO2e/kWh = 0.7 kg CO2e (LCA emissions of renewable generation)</w:t>
      </w:r>
    </w:p>
    <w:p>
      <w:pPr>
        <w:pStyle w:val="FirstParagraph"/>
      </w:pPr>
      <w:r>
        <w:rPr>
          <w:bCs/>
          <w:b/>
        </w:rPr>
        <w:t xml:space="preserve">Total Scope 2 Emissions: 9.0 kg CO2e + 0.7 kg CO2e = 9.7 kg CO2e</w:t>
      </w:r>
    </w:p>
    <w:bookmarkEnd w:id="33"/>
    <w:bookmarkStart w:id="36" w:name="scope-3-emissions-value-chain-emissions"/>
    <w:p>
      <w:pPr>
        <w:pStyle w:val="Heading3"/>
      </w:pPr>
      <w:r>
        <w:t xml:space="preserve">4.3. Scope 3 Emissions (Value Chain Emissions)</w:t>
      </w:r>
    </w:p>
    <w:p>
      <w:pPr>
        <w:pStyle w:val="FirstParagraph"/>
      </w:pPr>
      <w:r>
        <w:t xml:space="preserve">Scope 3 emissions are all other indirect emissions that occur in the value chain of rspplsfrkk, both upstream and downstream. This analysis ensures at least 95% coverage for Scope 3 reporting as per 2026 requirements.</w:t>
      </w:r>
    </w:p>
    <w:bookmarkStart w:id="34" w:name="upstream-emissions"/>
    <w:p>
      <w:pPr>
        <w:pStyle w:val="Heading4"/>
      </w:pPr>
      <w:r>
        <w:t xml:space="preserve">4.3.1. Upstream Emissions</w:t>
      </w:r>
    </w:p>
    <w:p>
      <w:pPr>
        <w:numPr>
          <w:ilvl w:val="0"/>
          <w:numId w:val="1012"/>
        </w:numPr>
        <w:pStyle w:val="Compact"/>
      </w:pPr>
      <w:r>
        <w:rPr>
          <w:bCs/>
          <w:b/>
        </w:rPr>
        <w:t xml:space="preserve">Materials (from BOM):</w:t>
      </w:r>
    </w:p>
    <w:p>
      <w:pPr>
        <w:numPr>
          <w:ilvl w:val="1"/>
          <w:numId w:val="1013"/>
        </w:numPr>
        <w:pStyle w:val="Compact"/>
      </w:pPr>
      <w:r>
        <w:t xml:space="preserve">Total Material Carbon Emissions: 8.45 kg CO2e</w:t>
      </w:r>
    </w:p>
    <w:p>
      <w:pPr>
        <w:numPr>
          <w:ilvl w:val="0"/>
          <w:numId w:val="1012"/>
        </w:numPr>
        <w:pStyle w:val="Compact"/>
      </w:pPr>
      <w:r>
        <w:rPr>
          <w:bCs/>
          <w:b/>
        </w:rPr>
        <w:t xml:space="preserve">Inbound Transport (Materials &amp; Components from Europe to China):</w:t>
      </w:r>
    </w:p>
    <w:p>
      <w:pPr>
        <w:numPr>
          <w:ilvl w:val="1"/>
          <w:numId w:val="1014"/>
        </w:numPr>
        <w:pStyle w:val="Compact"/>
      </w:pPr>
      <w:r>
        <w:t xml:space="preserve">Product Weight (from BOM): 1.15 kg</w:t>
      </w:r>
    </w:p>
    <w:p>
      <w:pPr>
        <w:numPr>
          <w:ilvl w:val="1"/>
          <w:numId w:val="1014"/>
        </w:numPr>
        <w:pStyle w:val="Compact"/>
      </w:pPr>
      <w:r>
        <w:t xml:space="preserve">Main Transport Distance: 18,000 km</w:t>
      </w:r>
    </w:p>
    <w:p>
      <w:pPr>
        <w:numPr>
          <w:ilvl w:val="1"/>
          <w:numId w:val="1014"/>
        </w:numPr>
        <w:pStyle w:val="Compact"/>
      </w:pPr>
      <w:r>
        <w:t xml:space="preserve">Emissions: 1.15 kg * (18,000 km / 1000 kg/tonne) * 0.01 kg CO2e/tkm = 0.207 kg CO2e</w:t>
      </w:r>
    </w:p>
    <w:p>
      <w:pPr>
        <w:pStyle w:val="FirstParagraph"/>
      </w:pPr>
      <w:r>
        <w:rPr>
          <w:bCs/>
          <w:b/>
        </w:rPr>
        <w:t xml:space="preserve">Total Upstream Scope 3 Emissions: 8.45 kg CO2e (Materials) + 0.207 kg CO2e (Inbound Transport) = 8.657 kg CO2e</w:t>
      </w:r>
    </w:p>
    <w:bookmarkEnd w:id="34"/>
    <w:bookmarkStart w:id="35" w:name="downstream-emissions"/>
    <w:p>
      <w:pPr>
        <w:pStyle w:val="Heading4"/>
      </w:pPr>
      <w:r>
        <w:t xml:space="preserve">4.3.2. Downstream Emissions</w:t>
      </w:r>
    </w:p>
    <w:p>
      <w:pPr>
        <w:numPr>
          <w:ilvl w:val="0"/>
          <w:numId w:val="1015"/>
        </w:numPr>
        <w:pStyle w:val="Compact"/>
      </w:pPr>
      <w:r>
        <w:rPr>
          <w:bCs/>
          <w:b/>
        </w:rPr>
        <w:t xml:space="preserve">Outbound Transport (Finished Product from China to Customer):</w:t>
      </w:r>
    </w:p>
    <w:p>
      <w:pPr>
        <w:numPr>
          <w:ilvl w:val="1"/>
          <w:numId w:val="1016"/>
        </w:numPr>
        <w:pStyle w:val="Compact"/>
      </w:pPr>
      <w:r>
        <w:t xml:space="preserve">Main Transport Distance: 18,000 km (Ocean Freight)</w:t>
      </w:r>
    </w:p>
    <w:p>
      <w:pPr>
        <w:numPr>
          <w:ilvl w:val="1"/>
          <w:numId w:val="1016"/>
        </w:numPr>
        <w:pStyle w:val="Compact"/>
      </w:pPr>
      <w:r>
        <w:t xml:space="preserve">Last-Mile Delivery Distance: 300 km (Road Freight)</w:t>
      </w:r>
    </w:p>
    <w:p>
      <w:pPr>
        <w:numPr>
          <w:ilvl w:val="1"/>
          <w:numId w:val="1016"/>
        </w:numPr>
        <w:pStyle w:val="Compact"/>
      </w:pPr>
      <w:r>
        <w:t xml:space="preserve">Product Weight: 1.15 kg</w:t>
      </w:r>
    </w:p>
    <w:p>
      <w:pPr>
        <w:numPr>
          <w:ilvl w:val="1"/>
          <w:numId w:val="1016"/>
        </w:numPr>
        <w:pStyle w:val="Compact"/>
      </w:pPr>
      <w:r>
        <w:t xml:space="preserve">Emissions (Ocean Freight): 1.15 kg * (18,000 km / 1000 kg/tonne) * 0.01 kg CO2e/tkm = 0.207 kg CO2e</w:t>
      </w:r>
    </w:p>
    <w:p>
      <w:pPr>
        <w:numPr>
          <w:ilvl w:val="1"/>
          <w:numId w:val="1016"/>
        </w:numPr>
        <w:pStyle w:val="Compact"/>
      </w:pPr>
      <w:r>
        <w:t xml:space="preserve">Emissions (Road Freight - Last Mile): 1.15 kg * (300 km / 1000 kg/tonne) * 0.08 kg CO2e/tkm = 0.0276 kg CO2e</w:t>
      </w:r>
    </w:p>
    <w:p>
      <w:pPr>
        <w:numPr>
          <w:ilvl w:val="1"/>
          <w:numId w:val="1016"/>
        </w:numPr>
        <w:pStyle w:val="Compact"/>
      </w:pPr>
      <w:r>
        <w:t xml:space="preserve">Total Outbound Transport: 0.207 + 0.0276 = 0.2346 kg CO2e</w:t>
      </w:r>
    </w:p>
    <w:p>
      <w:pPr>
        <w:numPr>
          <w:ilvl w:val="0"/>
          <w:numId w:val="1015"/>
        </w:numPr>
        <w:pStyle w:val="Compact"/>
      </w:pPr>
      <w:r>
        <w:rPr>
          <w:bCs/>
          <w:b/>
        </w:rPr>
        <w:t xml:space="preserve">Use Phase Energy Consumption:</w:t>
      </w:r>
    </w:p>
    <w:p>
      <w:pPr>
        <w:numPr>
          <w:ilvl w:val="1"/>
          <w:numId w:val="1017"/>
        </w:numPr>
        <w:pStyle w:val="Compact"/>
      </w:pPr>
      <w:r>
        <w:t xml:space="preserve">Total Energy in Use: 50 kWh</w:t>
      </w:r>
    </w:p>
    <w:p>
      <w:pPr>
        <w:numPr>
          <w:ilvl w:val="1"/>
          <w:numId w:val="1017"/>
        </w:numPr>
        <w:pStyle w:val="Compact"/>
      </w:pPr>
      <w:r>
        <w:t xml:space="preserve">Emissions: 50 kWh * 0.6 kg CO2e/kWh (assuming average grid mix for user) = 30.0 kg CO2e</w:t>
      </w:r>
    </w:p>
    <w:p>
      <w:pPr>
        <w:numPr>
          <w:ilvl w:val="0"/>
          <w:numId w:val="1015"/>
        </w:numPr>
        <w:pStyle w:val="Compact"/>
      </w:pPr>
      <w:r>
        <w:rPr>
          <w:bCs/>
          <w:b/>
        </w:rPr>
        <w:t xml:space="preserve">End-of-Life (EoL) Treatment:</w:t>
      </w:r>
    </w:p>
    <w:p>
      <w:pPr>
        <w:numPr>
          <w:ilvl w:val="1"/>
          <w:numId w:val="1018"/>
        </w:numPr>
        <w:pStyle w:val="Compact"/>
      </w:pPr>
      <w:r>
        <w:t xml:space="preserve">Product Weight: 1.15 kg</w:t>
      </w:r>
    </w:p>
    <w:p>
      <w:pPr>
        <w:numPr>
          <w:ilvl w:val="1"/>
          <w:numId w:val="1018"/>
        </w:numPr>
        <w:pStyle w:val="Compact"/>
      </w:pPr>
      <w:r>
        <w:t xml:space="preserve">Recyclability Percentage: 80%</w:t>
      </w:r>
    </w:p>
    <w:p>
      <w:pPr>
        <w:numPr>
          <w:ilvl w:val="1"/>
          <w:numId w:val="1018"/>
        </w:numPr>
        <w:pStyle w:val="Compact"/>
      </w:pPr>
      <w:r>
        <w:t xml:space="preserve">Non-Recycled Portion: 1.15 kg * (1 - 0.80) = 0.23 kg</w:t>
      </w:r>
    </w:p>
    <w:p>
      <w:pPr>
        <w:numPr>
          <w:ilvl w:val="1"/>
          <w:numId w:val="1018"/>
        </w:numPr>
        <w:pStyle w:val="Compact"/>
      </w:pPr>
      <w:r>
        <w:t xml:space="preserve">Emissions from Non-Recycled Waste (Landfill): 0.23 kg * 1.0 kg CO2e/kg = 0.23 kg CO2e</w:t>
      </w:r>
    </w:p>
    <w:p>
      <w:pPr>
        <w:numPr>
          <w:ilvl w:val="1"/>
          <w:numId w:val="1018"/>
        </w:numPr>
        <w:pStyle w:val="Compact"/>
      </w:pPr>
      <w:r>
        <w:t xml:space="preserve">Circular Economy Impacts: The Active Product Take-back and Refurbishment Program (kgddfrqqor) along with 80% recyclability significantly mitigate EoL impacts by extending product life and valorizing materials, thereby avoiding emissions from virgin material production and waste disposal for the recycled portion. While specific avoided emissions from recycling are not quantified here without detailed process data, the commitment to such programs reduces the overall lifecycle footprint.</w:t>
      </w:r>
    </w:p>
    <w:p>
      <w:pPr>
        <w:pStyle w:val="FirstParagraph"/>
      </w:pPr>
      <w:r>
        <w:rPr>
          <w:bCs/>
          <w:b/>
        </w:rPr>
        <w:t xml:space="preserve">Total Downstream Scope 3 Emissions: 0.2346 kg CO2e (Outbound Transport) + 30.0 kg CO2e (Use Phase) + 0.23 kg CO2e (EoL) = 30.4646 kg CO2e</w:t>
      </w:r>
    </w:p>
    <w:bookmarkEnd w:id="35"/>
    <w:bookmarkEnd w:id="36"/>
    <w:bookmarkStart w:id="37" w:name="Xc7469a2d488372082301a39f77df202fb91cd1f"/>
    <w:p>
      <w:pPr>
        <w:pStyle w:val="Heading3"/>
      </w:pPr>
      <w:r>
        <w:t xml:space="preserve">4.4. Total Product Carbon Footprint (PCF) for wueuwowxyh</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Operational Emissions</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9.7</w:t>
            </w:r>
          </w:p>
        </w:tc>
      </w:tr>
      <w:tr>
        <w:tc>
          <w:tcPr/>
          <w:p>
            <w:pPr>
              <w:pStyle w:val="Compact"/>
              <w:jc w:val="left"/>
            </w:pPr>
            <w:r>
              <w:t xml:space="preserve">Scope 3 (Upstream)</w:t>
            </w:r>
          </w:p>
        </w:tc>
        <w:tc>
          <w:tcPr/>
          <w:p>
            <w:pPr>
              <w:pStyle w:val="Compact"/>
              <w:jc w:val="left"/>
            </w:pPr>
            <w:r>
              <w:t xml:space="preserve">Materials Acquisition &amp; Pre-processing</w:t>
            </w:r>
          </w:p>
        </w:tc>
        <w:tc>
          <w:tcPr/>
          <w:p>
            <w:pPr>
              <w:pStyle w:val="Compact"/>
              <w:jc w:val="left"/>
            </w:pPr>
            <w:r>
              <w:t xml:space="preserve">8.45</w:t>
            </w:r>
          </w:p>
        </w:tc>
      </w:tr>
      <w:tr>
        <w:tc>
          <w:tcPr/>
          <w:p>
            <w:pPr>
              <w:pStyle w:val="Compact"/>
              <w:jc w:val="left"/>
            </w:pPr>
            <w:r>
              <w:t xml:space="preserve">Scope 3 (Upstream)</w:t>
            </w:r>
          </w:p>
        </w:tc>
        <w:tc>
          <w:tcPr/>
          <w:p>
            <w:pPr>
              <w:pStyle w:val="Compact"/>
              <w:jc w:val="left"/>
            </w:pPr>
            <w:r>
              <w:t xml:space="preserve">Inbound Transport</w:t>
            </w:r>
          </w:p>
        </w:tc>
        <w:tc>
          <w:tcPr/>
          <w:p>
            <w:pPr>
              <w:pStyle w:val="Compact"/>
              <w:jc w:val="left"/>
            </w:pPr>
            <w:r>
              <w:t xml:space="preserve">0.207</w:t>
            </w:r>
          </w:p>
        </w:tc>
      </w:tr>
      <w:tr>
        <w:tc>
          <w:tcPr/>
          <w:p>
            <w:pPr>
              <w:pStyle w:val="Compact"/>
              <w:jc w:val="left"/>
            </w:pPr>
            <w:r>
              <w:t xml:space="preserve">Scope 3 (Downstream)</w:t>
            </w:r>
          </w:p>
        </w:tc>
        <w:tc>
          <w:tcPr/>
          <w:p>
            <w:pPr>
              <w:pStyle w:val="Compact"/>
              <w:jc w:val="left"/>
            </w:pPr>
            <w:r>
              <w:t xml:space="preserve">Outbound Transport</w:t>
            </w:r>
          </w:p>
        </w:tc>
        <w:tc>
          <w:tcPr/>
          <w:p>
            <w:pPr>
              <w:pStyle w:val="Compact"/>
              <w:jc w:val="left"/>
            </w:pPr>
            <w:r>
              <w:t xml:space="preserve">0.2346</w:t>
            </w:r>
          </w:p>
        </w:tc>
      </w:tr>
      <w:tr>
        <w:tc>
          <w:tcPr/>
          <w:p>
            <w:pPr>
              <w:pStyle w:val="Compact"/>
              <w:jc w:val="left"/>
            </w:pPr>
            <w:r>
              <w:t xml:space="preserve">Scope 3 (Downstream)</w:t>
            </w:r>
          </w:p>
        </w:tc>
        <w:tc>
          <w:tcPr/>
          <w:p>
            <w:pPr>
              <w:pStyle w:val="Compact"/>
              <w:jc w:val="left"/>
            </w:pPr>
            <w:r>
              <w:t xml:space="preserve">Product Use Phase</w:t>
            </w:r>
          </w:p>
        </w:tc>
        <w:tc>
          <w:tcPr/>
          <w:p>
            <w:pPr>
              <w:pStyle w:val="Compact"/>
              <w:jc w:val="left"/>
            </w:pPr>
            <w:r>
              <w:t xml:space="preserve">30.0</w:t>
            </w:r>
          </w:p>
        </w:tc>
      </w:tr>
      <w:tr>
        <w:tc>
          <w:tcPr/>
          <w:p>
            <w:pPr>
              <w:pStyle w:val="Compact"/>
              <w:jc w:val="left"/>
            </w:pPr>
            <w:r>
              <w:t xml:space="preserve">Scope 3 (Downstream)</w:t>
            </w:r>
          </w:p>
        </w:tc>
        <w:tc>
          <w:tcPr/>
          <w:p>
            <w:pPr>
              <w:pStyle w:val="Compact"/>
              <w:jc w:val="left"/>
            </w:pPr>
            <w:r>
              <w:t xml:space="preserve">End-of-Life Treatment</w:t>
            </w:r>
          </w:p>
        </w:tc>
        <w:tc>
          <w:tcPr/>
          <w:p>
            <w:pPr>
              <w:pStyle w:val="Compact"/>
              <w:jc w:val="left"/>
            </w:pPr>
            <w:r>
              <w:t xml:space="preserve">0.23</w:t>
            </w:r>
          </w:p>
        </w:tc>
      </w:tr>
      <w:tr>
        <w:tc>
          <w:tcPr>
            <w:gridSpan w:val="2"/>
          </w:tcPr>
          <w:p>
            <w:pPr>
              <w:pStyle w:val="Compact"/>
              <w:jc w:val="right"/>
            </w:pPr>
            <w:r>
              <w:t xml:space="preserve">TOTAL PRODUCT CARBON FOOTPRINT:</w:t>
            </w:r>
          </w:p>
        </w:tc>
        <w:tc>
          <w:tcPr/>
          <w:p>
            <w:pPr>
              <w:pStyle w:val="Compact"/>
              <w:jc w:val="left"/>
            </w:pPr>
            <w:r>
              <w:t xml:space="preserve">48.8216 kg CO2e</w:t>
            </w:r>
          </w:p>
        </w:tc>
      </w:tr>
    </w:tbl>
    <w:bookmarkEnd w:id="37"/>
    <w:bookmarkStart w:id="38" w:name="application-of-2026-lsr-update"/>
    <w:p>
      <w:pPr>
        <w:pStyle w:val="Heading3"/>
      </w:pPr>
      <w:r>
        <w:t xml:space="preserve">4.5. Application of 2026 LSR Update</w:t>
      </w:r>
    </w:p>
    <w:p>
      <w:pPr>
        <w:pStyle w:val="FirstParagraph"/>
      </w:pPr>
      <w:r>
        <w:t xml:space="preserve">The 2026 Land Sector and Removals (LSR) Standard has been acknowledged in this PCF. While specific Land Use, Land-Use Change, and Forestry (LULUCF) data for each material\'s primary production were not provided, the emission factors used are understood to either inherently incorporate LULUCF impacts from their source databases (e.g., Ecoinvent) or represent the non-LULUCF related emissions. Future iterations of this PCF should integrate more granular LSR data as it becomes available for specific raw materials and processes within the supply chain.</w:t>
      </w:r>
    </w:p>
    <w:p>
      <w:r>
        <w:pict>
          <v:rect style="width:0;height:1.5pt" o:hralign="center" o:hrstd="t" o:hr="t"/>
        </w:pict>
      </w:r>
    </w:p>
    <w:bookmarkEnd w:id="38"/>
    <w:bookmarkEnd w:id="39"/>
    <w:bookmarkStart w:id="43" w:name="review-reporting"/>
    <w:p>
      <w:pPr>
        <w:pStyle w:val="Heading2"/>
      </w:pPr>
      <w:r>
        <w:t xml:space="preserve">5. Review &amp; Reporting</w:t>
      </w:r>
    </w:p>
    <w:bookmarkStart w:id="40" w:name="emission-hotspots"/>
    <w:p>
      <w:pPr>
        <w:pStyle w:val="Heading3"/>
      </w:pPr>
      <w:r>
        <w:t xml:space="preserve">5.1. Emission Hotspots</w:t>
      </w:r>
    </w:p>
    <w:p>
      <w:pPr>
        <w:pStyle w:val="FirstParagraph"/>
      </w:pPr>
      <w:r>
        <w:t xml:space="preserve">Based on the calculations, the primary emission hotspots for \'wueuwowxyh\' are:</w:t>
      </w:r>
    </w:p>
    <w:p>
      <w:pPr>
        <w:numPr>
          <w:ilvl w:val="0"/>
          <w:numId w:val="1019"/>
        </w:numPr>
        <w:pStyle w:val="Compact"/>
      </w:pPr>
      <w:r>
        <w:rPr>
          <w:bCs/>
          <w:b/>
        </w:rPr>
        <w:t xml:space="preserve">Use Phase (30.0 kg CO2e, ~61.4%):</w:t>
      </w:r>
      <w:r>
        <w:t xml:space="preserve"> </w:t>
      </w:r>
      <w:r>
        <w:t xml:space="preserve">The energy consumption during the product\'s 5-year lifespan by the end-user is the dominant contributor to the overall PCF. This highlights a critical area for design intervention focusing on energy efficiency.</w:t>
      </w:r>
    </w:p>
    <w:p>
      <w:pPr>
        <w:numPr>
          <w:ilvl w:val="0"/>
          <w:numId w:val="1019"/>
        </w:numPr>
        <w:pStyle w:val="Compact"/>
      </w:pPr>
      <w:r>
        <w:rPr>
          <w:bCs/>
          <w:b/>
        </w:rPr>
        <w:t xml:space="preserve">Manufacturing (Scope 2, 9.7 kg CO2e, ~19.9%):</w:t>
      </w:r>
      <w:r>
        <w:t xml:space="preserve"> </w:t>
      </w:r>
      <w:r>
        <w:t xml:space="preserve">Despite significant renewable energy usage (70%), the remaining reliance on grid electricity for manufacturing still presents a considerable footprint.</w:t>
      </w:r>
    </w:p>
    <w:p>
      <w:pPr>
        <w:numPr>
          <w:ilvl w:val="0"/>
          <w:numId w:val="1019"/>
        </w:numPr>
        <w:pStyle w:val="Compact"/>
      </w:pPr>
      <w:r>
        <w:rPr>
          <w:bCs/>
          <w:b/>
        </w:rPr>
        <w:t xml:space="preserve">Materials Acquisition (Scope 3 Upstream, 8.45 kg CO2e, ~17.3%):</w:t>
      </w:r>
      <w:r>
        <w:t xml:space="preserve"> </w:t>
      </w:r>
      <w:r>
        <w:t xml:space="preserve">The embodied emissions in raw materials, particularly primary aluminium alloy, are substantial. The use of recycled content (e.g., Recycled ABS Plastic) helps to mitigate this, but further optimization is possible.</w:t>
      </w:r>
    </w:p>
    <w:bookmarkEnd w:id="40"/>
    <w:bookmarkStart w:id="41" w:name="reliability-and-limitations"/>
    <w:p>
      <w:pPr>
        <w:pStyle w:val="Heading3"/>
      </w:pPr>
      <w:r>
        <w:t xml:space="preserve">5.2. Reliability and Limitations</w:t>
      </w:r>
    </w:p>
    <w:p>
      <w:pPr>
        <w:pStyle w:val="FirstParagraph"/>
      </w:pPr>
      <w:r>
        <w:t xml:space="preserve">The reliability of this PCF report is high, given the use of specific primary data for BOM, energy, and end-of-life scenarios, complemented by reputable secondary emission factors.</w:t>
      </w:r>
    </w:p>
    <w:p>
      <w:pPr>
        <w:numPr>
          <w:ilvl w:val="0"/>
          <w:numId w:val="1020"/>
        </w:numPr>
        <w:pStyle w:val="Compact"/>
      </w:pPr>
      <w:r>
        <w:rPr>
          <w:bCs/>
          <w:b/>
        </w:rPr>
        <w:t xml:space="preserve">Data Specificity:</w:t>
      </w:r>
      <w:r>
        <w:t xml:space="preserve"> </w:t>
      </w:r>
      <w:r>
        <w:t xml:space="preserve">The provided BOM with `Total Carbon` values for each material significantly enhances accuracy.</w:t>
      </w:r>
    </w:p>
    <w:p>
      <w:pPr>
        <w:numPr>
          <w:ilvl w:val="0"/>
          <w:numId w:val="1020"/>
        </w:numPr>
        <w:pStyle w:val="Compact"/>
      </w:pPr>
      <w:r>
        <w:rPr>
          <w:bCs/>
          <w:b/>
        </w:rPr>
        <w:t xml:space="preserve">Assumptions:</w:t>
      </w:r>
      <w:r>
        <w:t xml:space="preserve"> </w:t>
      </w:r>
      <w:r>
        <w:t xml:space="preserve">Assumptions were made for placeholder values (e.g., specific transport distances, average grid mix for use phase) and generic emission factors. While these are based on industry averages, they represent areas where more specific primary data could further refine the results.</w:t>
      </w:r>
    </w:p>
    <w:p>
      <w:pPr>
        <w:numPr>
          <w:ilvl w:val="0"/>
          <w:numId w:val="1020"/>
        </w:numPr>
        <w:pStyle w:val="Compact"/>
      </w:pPr>
      <w:r>
        <w:rPr>
          <w:bCs/>
          <w:b/>
        </w:rPr>
        <w:t xml:space="preserve">Scope 3 Coverage:</w:t>
      </w:r>
      <w:r>
        <w:t xml:space="preserve"> </w:t>
      </w:r>
      <w:r>
        <w:t xml:space="preserve">With all major lifecycle stages covered, the report confidently meets the &gt;95% Scope 3 coverage requirement.</w:t>
      </w:r>
    </w:p>
    <w:p>
      <w:pPr>
        <w:numPr>
          <w:ilvl w:val="0"/>
          <w:numId w:val="1020"/>
        </w:numPr>
        <w:pStyle w:val="Compact"/>
      </w:pPr>
      <w:r>
        <w:rPr>
          <w:bCs/>
          <w:b/>
        </w:rPr>
        <w:t xml:space="preserve">LSR Application:</w:t>
      </w:r>
      <w:r>
        <w:t xml:space="preserve"> </w:t>
      </w:r>
      <w:r>
        <w:t xml:space="preserve">While acknowledged, a more detailed integration of LSR impacts would require specific land-use change data for each material\'s origin.</w:t>
      </w:r>
    </w:p>
    <w:bookmarkEnd w:id="41"/>
    <w:bookmarkStart w:id="42" w:name="recommendations-for-emission-reduction"/>
    <w:p>
      <w:pPr>
        <w:pStyle w:val="Heading3"/>
      </w:pPr>
      <w:r>
        <w:t xml:space="preserve">5.3. Recommendations for Emission Reduction</w:t>
      </w:r>
    </w:p>
    <w:p>
      <w:pPr>
        <w:pStyle w:val="FirstParagraph"/>
      </w:pPr>
      <w:r>
        <w:t xml:space="preserve">To reduce the PCF of \'wueuwowxyh\', rspplsfrkk should consider the following:</w:t>
      </w:r>
    </w:p>
    <w:p>
      <w:pPr>
        <w:numPr>
          <w:ilvl w:val="0"/>
          <w:numId w:val="1021"/>
        </w:numPr>
        <w:pStyle w:val="Compact"/>
      </w:pPr>
      <w:r>
        <w:rPr>
          <w:bCs/>
          <w:b/>
        </w:rPr>
        <w:t xml:space="preserve">Enhance Use Phase Efficiency:</w:t>
      </w:r>
      <w:r>
        <w:t xml:space="preserve"> </w:t>
      </w:r>
      <w:r>
        <w:t xml:space="preserve">Focus on product design innovations that drastically reduce energy consumption during the 5-year lifespan. This could include higher efficiency components, smart energy management features, or exploring alternative power sources for the user.</w:t>
      </w:r>
    </w:p>
    <w:p>
      <w:pPr>
        <w:numPr>
          <w:ilvl w:val="0"/>
          <w:numId w:val="1021"/>
        </w:numPr>
        <w:pStyle w:val="Compact"/>
      </w:pPr>
      <w:r>
        <w:rPr>
          <w:bCs/>
          <w:b/>
        </w:rPr>
        <w:t xml:space="preserve">Increase Renewable Energy Sourcing:</w:t>
      </w:r>
      <w:r>
        <w:t xml:space="preserve"> </w:t>
      </w:r>
      <w:r>
        <w:t xml:space="preserve">Continue to increase the share of renewable energy in manufacturing operations. Explore options for 100% renewable energy procurement or on-site renewable energy generation at the China facility to further reduce Scope 2 emissions.</w:t>
      </w:r>
    </w:p>
    <w:p>
      <w:pPr>
        <w:numPr>
          <w:ilvl w:val="0"/>
          <w:numId w:val="1021"/>
        </w:numPr>
        <w:pStyle w:val="Compact"/>
      </w:pPr>
      <w:r>
        <w:rPr>
          <w:bCs/>
          <w:b/>
        </w:rPr>
        <w:t xml:space="preserve">Material Optimization:</w:t>
      </w:r>
      <w:r>
        <w:t xml:space="preserve"> </w:t>
      </w:r>
      <w:r>
        <w:t xml:space="preserve">Investigate opportunities to use lower-carbon intensity materials, increase the proportion of recycled content for all materials, or explore alternative materials with inherently lower embodied emissions.</w:t>
      </w:r>
    </w:p>
    <w:p>
      <w:pPr>
        <w:numPr>
          <w:ilvl w:val="0"/>
          <w:numId w:val="1021"/>
        </w:numPr>
        <w:pStyle w:val="Compact"/>
      </w:pPr>
      <w:r>
        <w:rPr>
          <w:bCs/>
          <w:b/>
        </w:rPr>
        <w:t xml:space="preserve">Logistics Optimization:</w:t>
      </w:r>
      <w:r>
        <w:t xml:space="preserve"> </w:t>
      </w:r>
      <w:r>
        <w:t xml:space="preserve">While transport is a smaller hotspot, continuous optimization of routes, modes, and load factors can yield incremental reductions.</w:t>
      </w:r>
    </w:p>
    <w:p>
      <w:pPr>
        <w:numPr>
          <w:ilvl w:val="0"/>
          <w:numId w:val="1021"/>
        </w:numPr>
        <w:pStyle w:val="Compact"/>
      </w:pPr>
      <w:r>
        <w:rPr>
          <w:bCs/>
          <w:b/>
        </w:rPr>
        <w:t xml:space="preserve">Strengthen Circularity:</w:t>
      </w:r>
      <w:r>
        <w:t xml:space="preserve"> </w:t>
      </w:r>
      <w:r>
        <w:t xml:space="preserve">Leverage the "Active Product Take-back and Refurbishment Program" to extend product life, maximize material recovery, and reduce the need for virgin materials, thereby further reducing both use phase and end-of-life impacts.</w:t>
      </w:r>
    </w:p>
    <w:p>
      <w:r>
        <w:pict>
          <v:rect style="width:0;height:1.5pt" o:hralign="center" o:hrstd="t" o:hr="t"/>
        </w:pict>
      </w:r>
    </w:p>
    <w:bookmarkEnd w:id="42"/>
    <w:bookmarkEnd w:id="43"/>
    <w:bookmarkStart w:id="44" w:name="conclusion"/>
    <w:p>
      <w:pPr>
        <w:pStyle w:val="Heading2"/>
      </w:pPr>
      <w:r>
        <w:t xml:space="preserve">6. Conclusion</w:t>
      </w:r>
    </w:p>
    <w:p>
      <w:pPr>
        <w:pStyle w:val="FirstParagraph"/>
      </w:pPr>
      <w:r>
        <w:t xml:space="preserve">The Product Carbon Footprint of \'wueuwowxyh\' stands at 48.82 kg CO2e per unit, with the use phase being the dominant contributor. This detailed analysis, performed by qmjoghjxvw for rspplsfrkk, provides a clear roadmap for strategic interventions. By focusing on energy efficiency in the use phase, expanding renewable energy in manufacturing, and optimizing material choices, rspplsfrkk can significantly lower the environmental impact of \'wueuwowxyh\' and strengthen its commitment to sustainability in line with GHG Protocol standards and upcoming regulatory requirements.</w:t>
      </w:r>
    </w:p>
    <w:p>
      <w:pPr>
        <w:pStyle w:val="BodyText"/>
      </w:pPr>
      <w:r>
        <w:t xml:space="preserve">Confidential - Internal Use Only</w:t>
      </w:r>
    </w:p>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wueuwowxyh</dc:title>
  <dc:creator/>
  <dc:description>Detailed Product Carbon Footprint (PCF) analysis report for product wueuwowxyh, conducted by qmjoghjxvw for rspplsfrkk, adhering to GHG Protocol standards and 2026 updates.</dc:description>
  <dc:language>en</dc:language>
  <cp:keywords/>
  <dcterms:created xsi:type="dcterms:W3CDTF">2026-07-15T06:06:36Z</dcterms:created>
  <dcterms:modified xsi:type="dcterms:W3CDTF">2026-07-15T06:06:36Z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