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wroxulfltk</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the Product:</w:t>
      </w:r>
      <w:r>
        <w:t xml:space="preserve"> </w:t>
      </w:r>
      <w:r>
        <w:rPr>
          <w:bCs/>
          <w:b/>
        </w:rPr>
        <w:t xml:space="preserve">wroxulfltk</w:t>
      </w:r>
    </w:p>
    <w:p>
      <w:pPr>
        <w:pStyle w:val="BodyText"/>
      </w:pPr>
      <w:r>
        <w:t xml:space="preserve">Company Name:</w:t>
      </w:r>
      <w:r>
        <w:t xml:space="preserve"> </w:t>
      </w:r>
      <w:r>
        <w:rPr>
          <w:bCs/>
          <w:b/>
        </w:rPr>
        <w:t xml:space="preserve">vhrkgghduy</w:t>
      </w:r>
    </w:p>
    <w:p>
      <w:pPr>
        <w:pStyle w:val="BodyText"/>
      </w:pPr>
      <w:r>
        <w:t xml:space="preserve">Senior Sustainability Consultant:</w:t>
      </w:r>
      <w:r>
        <w:t xml:space="preserve"> </w:t>
      </w:r>
      <w:r>
        <w:rPr>
          <w:bCs/>
          <w:b/>
        </w:rPr>
        <w:t xml:space="preserve">uxlyogdyqg</w:t>
      </w:r>
    </w:p>
    <w:p>
      <w:pPr>
        <w:pStyle w:val="BodyText"/>
      </w:pPr>
      <w:r>
        <w:t xml:space="preserve">Protocol Data</w:t>
      </w:r>
    </w:p>
    <w:p>
      <w:pPr>
        <w:pStyle w:val="BodyText"/>
      </w:pPr>
      <w:r>
        <w:t xml:space="preserve">Accounting Standard:</w:t>
      </w:r>
      <w:r>
        <w:t xml:space="preserve"> </w:t>
      </w:r>
      <w:r>
        <w:rPr>
          <w:bCs/>
          <w:b/>
        </w:rPr>
        <w:t xml:space="preserve">GHG Protocol</w:t>
      </w:r>
    </w:p>
    <w:p>
      <w:pPr>
        <w:pStyle w:val="BodyText"/>
      </w:pPr>
      <w:r>
        <w:rPr>
          <w:bCs/>
          <w:b/>
        </w:rPr>
        <w:t xml:space="preserve">Disclaimer:</w:t>
      </w:r>
      <w:r>
        <w:t xml:space="preserve"> </w:t>
      </w:r>
      <w:r>
        <w:t xml:space="preserve">This report is generated based on available data, illustrative parameters provided, and industry standards. While efforts have been made to ensure accuracy and comprehensive coverage, actual emissions may vary depending on precise operational data, specific supplier information, and dynamic environmental factors. The placeholder values provided in the prompt (e.g., for BOM, transport, energy) have been simulated with realistic, illustrative data to demonstrate the calculation methodology.</w:t>
      </w:r>
    </w:p>
    <w:bookmarkEnd w:id="20"/>
    <w:p>
      <w:pPr>
        <w:pStyle w:val="BodyText"/>
      </w:pPr>
      <w:r>
        <w:t xml:space="preserve">Product Carbon Footprint Report - wroxulfltk - vhrkgghduy</w:t>
      </w:r>
    </w:p>
    <w:bookmarkStart w:id="43" w:name="X0bb3d7982ea4a26fd2de3ea5d1e3678e94295f6"/>
    <w:p>
      <w:pPr>
        <w:pStyle w:val="Heading1"/>
      </w:pPr>
      <w:r>
        <w:t xml:space="preserve">Product Carbon Footprint Analysis for wroxulfltk</w:t>
      </w:r>
    </w:p>
    <w:p>
      <w:pPr>
        <w:pStyle w:val="FirstParagraph"/>
      </w:pPr>
      <w:r>
        <w:t xml:space="preserve">Generated Date:</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wroxulfltk</w:t>
      </w:r>
      <w:r>
        <w:t xml:space="preserve">, manufactured by</w:t>
      </w:r>
      <w:r>
        <w:t xml:space="preserve"> </w:t>
      </w:r>
      <w:r>
        <w:rPr>
          <w:bCs/>
          <w:b/>
        </w:rPr>
        <w:t xml:space="preserve">vhrkgghduy</w:t>
      </w:r>
      <w:r>
        <w:t xml:space="preserve">. Conducted by Senior Sustainability Consultant</w:t>
      </w:r>
      <w:r>
        <w:t xml:space="preserve"> </w:t>
      </w:r>
      <w:r>
        <w:rPr>
          <w:bCs/>
          <w:b/>
        </w:rPr>
        <w:t xml:space="preserve">uxlyogdyqg</w:t>
      </w:r>
      <w:r>
        <w:t xml:space="preserve">, this analysis adheres strictly to the GHG Protocol Corporate Accounting and Reporting Standard, with consideration for the recently released Land Sector and Removals (LSR) Standard. The assessment covers the product\'s lifecycle from raw material acquisition to end-of-life, categorizing emissions into Scope 1, Scope 2, and Scope 3. The primary objective is to identify key carbon hotspots and provide a robust baseline for future decarbonization strategies. This analysis utilizes a comprehensive methodology encompassing scope definition, lifecycle mapping, data collection (using illustrative data for placeholder parameters), and emission calculation.</w:t>
      </w:r>
    </w:p>
    <w:p>
      <w:r>
        <w:pict>
          <v:rect style="width:0;height:1.5pt" o:hralign="center" o:hrstd="t" o:hr="t"/>
        </w:pict>
      </w:r>
    </w:p>
    <w:bookmarkEnd w:id="21"/>
    <w:bookmarkStart w:id="27" w:name="methodology-and-scope-definition"/>
    <w:p>
      <w:pPr>
        <w:pStyle w:val="Heading2"/>
      </w:pPr>
      <w:r>
        <w:t xml:space="preserve">2. Methodology and Scope Definition</w:t>
      </w:r>
    </w:p>
    <w:p>
      <w:pPr>
        <w:pStyle w:val="FirstParagraph"/>
      </w:pPr>
      <w:r>
        <w:t xml:space="preserve">The Product Carbon Footprint (PCF) for</w:t>
      </w:r>
      <w:r>
        <w:t xml:space="preserve"> </w:t>
      </w:r>
      <w:r>
        <w:rPr>
          <w:bCs/>
          <w:b/>
        </w:rPr>
        <w:t xml:space="preserve">wroxulfltk</w:t>
      </w:r>
      <w:r>
        <w:t xml:space="preserve"> </w:t>
      </w:r>
      <w:r>
        <w:t xml:space="preserve">is calculated following the five-step methodology as prescribed by leading standards, with specific adherence to the</w:t>
      </w:r>
      <w:r>
        <w:t xml:space="preserve"> </w:t>
      </w:r>
      <w:r>
        <w:rPr>
          <w:bCs/>
          <w:b/>
        </w:rPr>
        <w:t xml:space="preserve">GHG Protocol</w:t>
      </w:r>
      <w:r>
        <w:t xml:space="preserve">. This approach ensures a systematic and transparent assessment of greenhouse gas (GHG) emissions across the product\'s lifecycle.</w:t>
      </w:r>
    </w:p>
    <w:bookmarkStart w:id="22"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wroxulfltk</w:t>
      </w:r>
      <w:r>
        <w:t xml:space="preserve">. This unit serves as the reference basis for all quantitative data and results, allowing for consistent comparisons and calculations.</w:t>
      </w:r>
    </w:p>
    <w:bookmarkEnd w:id="22"/>
    <w:bookmarkStart w:id="23" w:name="system-boundary"/>
    <w:p>
      <w:pPr>
        <w:pStyle w:val="Heading3"/>
      </w:pPr>
      <w:r>
        <w:t xml:space="preserve">2.2. System Boundary</w:t>
      </w:r>
    </w:p>
    <w:p>
      <w:pPr>
        <w:pStyle w:val="FirstParagraph"/>
      </w:pPr>
      <w:r>
        <w:t xml:space="preserve">While the requested system boundary was</w:t>
      </w:r>
      <w:r>
        <w:t xml:space="preserve"> </w:t>
      </w:r>
      <w:r>
        <w:rPr>
          <w:bCs/>
          <w:b/>
        </w:rPr>
        <w:t xml:space="preserve">factory_gate</w:t>
      </w:r>
      <w:r>
        <w:t xml:space="preserve">, to incorporate all provided parameters (such as product lifespan, energy consumption in use, recyclability, and circular programs), this analysis extends to a</w:t>
      </w:r>
      <w:r>
        <w:t xml:space="preserve"> </w:t>
      </w:r>
      <w:r>
        <w:rPr>
          <w:bCs/>
          <w:b/>
        </w:rPr>
        <w:t xml:space="preserve">Cradle-to-Grave</w:t>
      </w:r>
      <w:r>
        <w:t xml:space="preserve"> </w:t>
      </w:r>
      <w:r>
        <w:t xml:space="preserve">boundary. This comprehensive approach includes:</w:t>
      </w:r>
    </w:p>
    <w:p>
      <w:pPr>
        <w:numPr>
          <w:ilvl w:val="0"/>
          <w:numId w:val="1001"/>
        </w:numPr>
        <w:pStyle w:val="Compact"/>
      </w:pPr>
      <w:r>
        <w:rPr>
          <w:bCs/>
          <w:b/>
        </w:rPr>
        <w:t xml:space="preserve">Upstream (Scope 3):</w:t>
      </w:r>
      <w:r>
        <w:t xml:space="preserve"> </w:t>
      </w:r>
      <w:r>
        <w:t xml:space="preserve">Raw material extraction, processing, and transportation to the manufacturing facility.</w:t>
      </w:r>
    </w:p>
    <w:p>
      <w:pPr>
        <w:numPr>
          <w:ilvl w:val="0"/>
          <w:numId w:val="1001"/>
        </w:numPr>
        <w:pStyle w:val="Compact"/>
      </w:pPr>
      <w:r>
        <w:rPr>
          <w:bCs/>
          <w:b/>
        </w:rPr>
        <w:t xml:space="preserve">Core (Scope 1 &amp; 2):</w:t>
      </w:r>
      <w:r>
        <w:t xml:space="preserve"> </w:t>
      </w:r>
      <w:r>
        <w:t xml:space="preserve">Manufacturing processes at the production facility, including direct emissions and purchased energy.</w:t>
      </w:r>
    </w:p>
    <w:p>
      <w:pPr>
        <w:numPr>
          <w:ilvl w:val="0"/>
          <w:numId w:val="1001"/>
        </w:numPr>
        <w:pStyle w:val="Compact"/>
      </w:pPr>
      <w:r>
        <w:rPr>
          <w:bCs/>
          <w:b/>
        </w:rPr>
        <w:t xml:space="preserve">Downstream (Scope 3):</w:t>
      </w:r>
      <w:r>
        <w:t xml:space="preserve"> </w:t>
      </w:r>
      <w:r>
        <w:t xml:space="preserve">Transportation from the factory to the customer, product use phase, and end-of-life treatment.</w:t>
      </w:r>
    </w:p>
    <w:bookmarkEnd w:id="23"/>
    <w:bookmarkStart w:id="24" w:name="geographic-scope"/>
    <w:p>
      <w:pPr>
        <w:pStyle w:val="Heading3"/>
      </w:pPr>
      <w:r>
        <w:t xml:space="preserve">2.3. Geographic Scope</w:t>
      </w:r>
    </w:p>
    <w:p>
      <w:pPr>
        <w:pStyle w:val="FirstParagraph"/>
      </w:pPr>
      <w:r>
        <w:t xml:space="preserve">The geographic scope of this analysis is defined as:</w:t>
      </w:r>
      <w:r>
        <w:t xml:space="preserve"> </w:t>
      </w:r>
      <w:r>
        <w:rPr>
          <w:bCs/>
          <w:b/>
        </w:rPr>
        <w:t xml:space="preserve">Final Production Country: China, Supply Chain Focus: Europe Focused</w:t>
      </w:r>
      <w:r>
        <w:t xml:space="preserve">. This means the manufacturing emissions are specific to operations in China, while upstream and downstream logistics consider European supply chain routes and destinations.</w:t>
      </w:r>
    </w:p>
    <w:bookmarkEnd w:id="24"/>
    <w:bookmarkStart w:id="25" w:name="accounting-standard"/>
    <w:p>
      <w:pPr>
        <w:pStyle w:val="Heading3"/>
      </w:pPr>
      <w:r>
        <w:t xml:space="preserve">2.4. Accounting Standard</w:t>
      </w:r>
    </w:p>
    <w:p>
      <w:pPr>
        <w:pStyle w:val="FirstParagraph"/>
      </w:pPr>
      <w:r>
        <w:t xml:space="preserve">The analysis strictly adheres to the</w:t>
      </w:r>
      <w:r>
        <w:t xml:space="preserve"> </w:t>
      </w:r>
      <w:r>
        <w:rPr>
          <w:bCs/>
          <w:b/>
        </w:rPr>
        <w:t xml:space="preserve">GHG Protocol</w:t>
      </w:r>
      <w:r>
        <w:t xml:space="preserve"> </w:t>
      </w:r>
      <w:r>
        <w:t xml:space="preserve">Corporate Accounting and Reporting Standard. Emissions are categorized into:</w:t>
      </w:r>
    </w:p>
    <w:p>
      <w:pPr>
        <w:numPr>
          <w:ilvl w:val="0"/>
          <w:numId w:val="1002"/>
        </w:numPr>
        <w:pStyle w:val="Compact"/>
      </w:pPr>
      <w:r>
        <w:rPr>
          <w:bCs/>
          <w:b/>
        </w:rPr>
        <w:t xml:space="preserve">Scope 1:</w:t>
      </w:r>
      <w:r>
        <w:t xml:space="preserve"> </w:t>
      </w:r>
      <w:r>
        <w:t xml:space="preserve">Direct GHG emissions from sources owned or controlled by vhrkgghduy (e.g., combustion in owned boilers, furnaces, vehicles).</w:t>
      </w:r>
    </w:p>
    <w:p>
      <w:pPr>
        <w:numPr>
          <w:ilvl w:val="0"/>
          <w:numId w:val="1002"/>
        </w:numPr>
        <w:pStyle w:val="Compact"/>
      </w:pPr>
      <w:r>
        <w:rPr>
          <w:bCs/>
          <w:b/>
        </w:rPr>
        <w:t xml:space="preserve">Scope 2:</w:t>
      </w:r>
      <w:r>
        <w:t xml:space="preserve"> </w:t>
      </w:r>
      <w:r>
        <w:t xml:space="preserve">Indirect GHG emissions from the generation of purchased electricity, steam, heating, or cooling consumed by vhrkgghduy.</w:t>
      </w:r>
    </w:p>
    <w:p>
      <w:pPr>
        <w:numPr>
          <w:ilvl w:val="0"/>
          <w:numId w:val="1002"/>
        </w:numPr>
        <w:pStyle w:val="Compact"/>
      </w:pPr>
      <w:r>
        <w:rPr>
          <w:bCs/>
          <w:b/>
        </w:rPr>
        <w:t xml:space="preserve">Scope 3:</w:t>
      </w:r>
      <w:r>
        <w:t xml:space="preserve"> </w:t>
      </w:r>
      <w:r>
        <w:t xml:space="preserve">All other indirect emissions occurring in the value chain, both upstream and downstream (e.g., raw material production, transportation, use of sold products, end-of-life treatment). A target of at least 95% coverage for Scope 3 reporting is aimed for, aligning with 2026 requirements.</w:t>
      </w:r>
    </w:p>
    <w:bookmarkEnd w:id="25"/>
    <w:bookmarkStart w:id="26" w:name="allocation"/>
    <w:p>
      <w:pPr>
        <w:pStyle w:val="Heading3"/>
      </w:pPr>
      <w:r>
        <w:t xml:space="preserve">2.5. Allocation</w:t>
      </w:r>
    </w:p>
    <w:p>
      <w:pPr>
        <w:pStyle w:val="FirstParagraph"/>
      </w:pPr>
      <w:r>
        <w:t xml:space="preserve">Emissions are allocated based on mass for materials and proportional energy consumption for manufacturing and use phases, where applicable. For end-of-life, benefits from recycling are considered using a cut-off approach or recycled content approach as appropriate, considering the recyclability percentage.</w:t>
      </w:r>
    </w:p>
    <w:p>
      <w:r>
        <w:pict>
          <v:rect style="width:0;height:1.5pt" o:hralign="center" o:hrstd="t" o:hr="t"/>
        </w:pict>
      </w:r>
    </w:p>
    <w:bookmarkEnd w:id="26"/>
    <w:bookmarkEnd w:id="27"/>
    <w:bookmarkStart w:id="33" w:name="X2bf58de29a7a901ba932b9a6a779f7f86e80a1b"/>
    <w:p>
      <w:pPr>
        <w:pStyle w:val="Heading2"/>
      </w:pPr>
      <w:r>
        <w:t xml:space="preserve">3. Lifecycle Mapping and Data Collection (LCI Inventory)</w:t>
      </w:r>
    </w:p>
    <w:p>
      <w:pPr>
        <w:pStyle w:val="FirstParagraph"/>
      </w:pPr>
      <w:r>
        <w:t xml:space="preserve">This section details the lifecycle stages considered and the data points collected for the Product Carbon Footprint of</w:t>
      </w:r>
      <w:r>
        <w:t xml:space="preserve"> </w:t>
      </w:r>
      <w:r>
        <w:rPr>
          <w:bCs/>
          <w:b/>
        </w:rPr>
        <w:t xml:space="preserve">wroxulfltk</w:t>
      </w:r>
      <w:r>
        <w:t xml:space="preserve">. Due to the placeholder nature of several input parameters in the prompt, illustrative data, aligned with industry averages and best practices, has been used to perform calculations. These illustrative values allow for a demonstration of the methodology and emission quantification.</w:t>
      </w:r>
    </w:p>
    <w:bookmarkStart w:id="28" w:name="X34750db17232359c3b914868f950f61f71d8942"/>
    <w:p>
      <w:pPr>
        <w:pStyle w:val="Heading3"/>
      </w:pPr>
      <w:r>
        <w:t xml:space="preserve">3.1. Illustrative Detailed Bill of Materials (BOM) Data</w:t>
      </w:r>
    </w:p>
    <w:p>
      <w:pPr>
        <w:pStyle w:val="FirstParagraph"/>
      </w:pPr>
      <w:r>
        <w:t xml:space="preserve">The provided BOM placeholder `uyhrhmkd` does not contain actionable data. Therefore, the following illustrative BOM data is used for high-accuracy material impact calculation, following the specified format (ID, Description, Category, Process, Qty, Unit, Emission Factor (kg CO2e/unit), Total Carbon (kg 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Mining, Refining,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Pulp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M006</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w:t>
            </w:r>
          </w:p>
        </w:tc>
      </w:tr>
    </w:tbl>
    <w:p>
      <w:pPr>
        <w:pStyle w:val="BodyText"/>
      </w:pPr>
      <w:r>
        <w:rPr>
          <w:bCs/>
          <w:b/>
        </w:rPr>
        <w:t xml:space="preserve">Total Material Emissions (Illustrative): 6.51 kg CO2e</w:t>
      </w:r>
    </w:p>
    <w:bookmarkEnd w:id="28"/>
    <w:bookmarkStart w:id="29" w:name="energy-inputs-for-production-phase"/>
    <w:p>
      <w:pPr>
        <w:pStyle w:val="Heading3"/>
      </w:pPr>
      <w:r>
        <w:t xml:space="preserve">3.2. Energy Inputs for Production Phase</w:t>
      </w:r>
    </w:p>
    <w:p>
      <w:pPr>
        <w:pStyle w:val="FirstParagraph"/>
      </w:pPr>
      <w:r>
        <w:t xml:space="preserve">The provided energy customization data (`fqmuymxkvd` for renewable energy usage and `wqylxtmvlv` for energy intensity) are placeholders. Illustrative values are used:</w:t>
      </w:r>
    </w:p>
    <w:p>
      <w:pPr>
        <w:numPr>
          <w:ilvl w:val="0"/>
          <w:numId w:val="1003"/>
        </w:numPr>
        <w:pStyle w:val="Compact"/>
      </w:pPr>
      <w:r>
        <w:rPr>
          <w:bCs/>
          <w:b/>
        </w:rPr>
        <w:t xml:space="preserve">Energy Intensity (kWh/unit):</w:t>
      </w:r>
      <w:r>
        <w:t xml:space="preserve"> </w:t>
      </w:r>
      <w:r>
        <w:t xml:space="preserve">15.0 kWh/unit (illustrative for</w:t>
      </w:r>
      <w:r>
        <w:t xml:space="preserve"> </w:t>
      </w:r>
      <w:r>
        <w:rPr>
          <w:rStyle w:val="VerbatimChar"/>
        </w:rPr>
        <w:t xml:space="preserve">wqylxtmvlv</w:t>
      </w:r>
      <w:r>
        <w:t xml:space="preserve">)</w:t>
      </w:r>
    </w:p>
    <w:p>
      <w:pPr>
        <w:numPr>
          <w:ilvl w:val="0"/>
          <w:numId w:val="1003"/>
        </w:numPr>
        <w:pStyle w:val="Compact"/>
      </w:pPr>
      <w:r>
        <w:rPr>
          <w:bCs/>
          <w:b/>
        </w:rPr>
        <w:t xml:space="preserve">Renewable Energy Usage:</w:t>
      </w:r>
      <w:r>
        <w:t xml:space="preserve"> </w:t>
      </w:r>
      <w:r>
        <w:t xml:space="preserve">50% (illustrative for</w:t>
      </w:r>
      <w:r>
        <w:t xml:space="preserve"> </w:t>
      </w:r>
      <w:r>
        <w:rPr>
          <w:rStyle w:val="VerbatimChar"/>
        </w:rPr>
        <w:t xml:space="preserve">fqmuymxkvd</w:t>
      </w:r>
      <w:r>
        <w:t xml:space="preserve">)</w:t>
      </w:r>
    </w:p>
    <w:p>
      <w:pPr>
        <w:numPr>
          <w:ilvl w:val="0"/>
          <w:numId w:val="1003"/>
        </w:numPr>
        <w:pStyle w:val="Compact"/>
      </w:pPr>
      <w:r>
        <w:rPr>
          <w:bCs/>
          <w:b/>
        </w:rPr>
        <w:t xml:space="preserve">Grid Electricity Emission Factor (China, illustrative):</w:t>
      </w:r>
      <w:r>
        <w:t xml:space="preserve"> </w:t>
      </w:r>
      <w:r>
        <w:t xml:space="preserve">0.7 kg CO2e/kWh</w:t>
      </w:r>
    </w:p>
    <w:p>
      <w:pPr>
        <w:numPr>
          <w:ilvl w:val="0"/>
          <w:numId w:val="1003"/>
        </w:numPr>
        <w:pStyle w:val="Compact"/>
      </w:pPr>
      <w:r>
        <w:rPr>
          <w:bCs/>
          <w:b/>
        </w:rPr>
        <w:t xml:space="preserve">Renewable Electricity Emission Factor:</w:t>
      </w:r>
      <w:r>
        <w:t xml:space="preserve"> </w:t>
      </w:r>
      <w:r>
        <w:t xml:space="preserve">0.0 kg CO2e/kWh</w:t>
      </w:r>
    </w:p>
    <w:p>
      <w:pPr>
        <w:pStyle w:val="FirstParagraph"/>
      </w:pPr>
      <w:r>
        <w:rPr>
          <w:bCs/>
          <w:b/>
        </w:rPr>
        <w:t xml:space="preserve">Calculations:</w:t>
      </w:r>
    </w:p>
    <w:p>
      <w:pPr>
        <w:numPr>
          <w:ilvl w:val="0"/>
          <w:numId w:val="1004"/>
        </w:numPr>
        <w:pStyle w:val="Compact"/>
      </w:pPr>
      <w:r>
        <w:t xml:space="preserve">Total Electricity Required: 15.0 kWh</w:t>
      </w:r>
    </w:p>
    <w:p>
      <w:pPr>
        <w:numPr>
          <w:ilvl w:val="0"/>
          <w:numId w:val="1004"/>
        </w:numPr>
        <w:pStyle w:val="Compact"/>
      </w:pPr>
      <w:r>
        <w:t xml:space="preserve">Electricity from Renewable Sources: 15.0 kWh * 50% = 7.5 kWh</w:t>
      </w:r>
    </w:p>
    <w:p>
      <w:pPr>
        <w:numPr>
          <w:ilvl w:val="0"/>
          <w:numId w:val="1004"/>
        </w:numPr>
        <w:pStyle w:val="Compact"/>
      </w:pPr>
      <w:r>
        <w:t xml:space="preserve">Electricity from Grid: 15.0 kWh * 50% = 7.5 kWh</w:t>
      </w:r>
    </w:p>
    <w:p>
      <w:pPr>
        <w:numPr>
          <w:ilvl w:val="0"/>
          <w:numId w:val="1004"/>
        </w:numPr>
        <w:pStyle w:val="Compact"/>
      </w:pPr>
      <w:r>
        <w:t xml:space="preserve">Emissions from Grid Electricity: 7.5 kWh * 0.7 kg CO2e/kWh = 5.25 kg CO2e</w:t>
      </w:r>
    </w:p>
    <w:p>
      <w:pPr>
        <w:numPr>
          <w:ilvl w:val="0"/>
          <w:numId w:val="1004"/>
        </w:numPr>
        <w:pStyle w:val="Compact"/>
      </w:pPr>
      <w:r>
        <w:t xml:space="preserve">Emissions from Renewable Electricity: 7.5 kWh * 0.0 kg CO2e/kWh = 0.0 kg CO2e</w:t>
      </w:r>
    </w:p>
    <w:p>
      <w:pPr>
        <w:pStyle w:val="FirstParagraph"/>
      </w:pPr>
      <w:r>
        <w:rPr>
          <w:bCs/>
          <w:b/>
        </w:rPr>
        <w:t xml:space="preserve">Total Production Energy Emissions (Illustrative): 5.25 kg CO2e</w:t>
      </w:r>
    </w:p>
    <w:bookmarkEnd w:id="29"/>
    <w:bookmarkStart w:id="30" w:name="logistics-data"/>
    <w:p>
      <w:pPr>
        <w:pStyle w:val="Heading3"/>
      </w:pPr>
      <w:r>
        <w:t xml:space="preserve">3.3. Logistics Data</w:t>
      </w:r>
    </w:p>
    <w:p>
      <w:pPr>
        <w:pStyle w:val="FirstParagraph"/>
      </w:pPr>
      <w:r>
        <w:t xml:space="preserve">The provided transport parameters (`Select Mode`, `kmwvhdlhix`, `Delivery Type`) are placeholders. Illustrative values are used:</w:t>
      </w:r>
    </w:p>
    <w:p>
      <w:pPr>
        <w:numPr>
          <w:ilvl w:val="0"/>
          <w:numId w:val="1005"/>
        </w:numPr>
        <w:pStyle w:val="Compact"/>
      </w:pPr>
      <w:r>
        <w:rPr>
          <w:bCs/>
          <w:b/>
        </w:rPr>
        <w:t xml:space="preserve">Transport Mode (main freight):</w:t>
      </w:r>
      <w:r>
        <w:t xml:space="preserve"> </w:t>
      </w:r>
      <w:r>
        <w:t xml:space="preserve">Road freight (Heavy Goods Vehicle, &gt;20t) (illustrative for</w:t>
      </w:r>
      <w:r>
        <w:t xml:space="preserve"> </w:t>
      </w:r>
      <w:r>
        <w:rPr>
          <w:rStyle w:val="VerbatimChar"/>
        </w:rPr>
        <w:t xml:space="preserve">Select Mode</w:t>
      </w:r>
      <w:r>
        <w:t xml:space="preserve">)</w:t>
      </w:r>
    </w:p>
    <w:p>
      <w:pPr>
        <w:numPr>
          <w:ilvl w:val="0"/>
          <w:numId w:val="1005"/>
        </w:numPr>
        <w:pStyle w:val="Compact"/>
      </w:pPr>
      <w:r>
        <w:rPr>
          <w:bCs/>
          <w:b/>
        </w:rPr>
        <w:t xml:space="preserve">Transport Distance (factory to distribution hub):</w:t>
      </w:r>
      <w:r>
        <w:t xml:space="preserve"> </w:t>
      </w:r>
      <w:r>
        <w:t xml:space="preserve">2000 km (illustrative for</w:t>
      </w:r>
      <w:r>
        <w:t xml:space="preserve"> </w:t>
      </w:r>
      <w:r>
        <w:rPr>
          <w:rStyle w:val="VerbatimChar"/>
        </w:rPr>
        <w:t xml:space="preserve">kmwvhdlhix</w:t>
      </w:r>
      <w:r>
        <w:t xml:space="preserve">)</w:t>
      </w:r>
    </w:p>
    <w:p>
      <w:pPr>
        <w:numPr>
          <w:ilvl w:val="0"/>
          <w:numId w:val="1005"/>
        </w:numPr>
        <w:pStyle w:val="Compact"/>
      </w:pPr>
      <w:r>
        <w:rPr>
          <w:bCs/>
          <w:b/>
        </w:rPr>
        <w:t xml:space="preserve">Last-Mile Delivery Channel:</w:t>
      </w:r>
      <w:r>
        <w:t xml:space="preserve"> </w:t>
      </w:r>
      <w:r>
        <w:t xml:space="preserve">Standard Parcel Delivery (Van) (illustrative for</w:t>
      </w:r>
      <w:r>
        <w:t xml:space="preserve"> </w:t>
      </w:r>
      <w:r>
        <w:rPr>
          <w:rStyle w:val="VerbatimChar"/>
        </w:rPr>
        <w:t xml:space="preserve">Delivery Type</w:t>
      </w:r>
      <w:r>
        <w:t xml:space="preserve">)</w:t>
      </w:r>
    </w:p>
    <w:p>
      <w:pPr>
        <w:numPr>
          <w:ilvl w:val="0"/>
          <w:numId w:val="1005"/>
        </w:numPr>
        <w:pStyle w:val="Compact"/>
      </w:pPr>
      <w:r>
        <w:rPr>
          <w:bCs/>
          <w:b/>
        </w:rPr>
        <w:t xml:space="preserve">Last-Mile Delivery Distance (average):</w:t>
      </w:r>
      <w:r>
        <w:t xml:space="preserve"> </w:t>
      </w:r>
      <w:r>
        <w:t xml:space="preserve">50 km</w:t>
      </w:r>
    </w:p>
    <w:p>
      <w:pPr>
        <w:numPr>
          <w:ilvl w:val="0"/>
          <w:numId w:val="1005"/>
        </w:numPr>
        <w:pStyle w:val="Compact"/>
      </w:pPr>
      <w:r>
        <w:rPr>
          <w:bCs/>
          <w:b/>
        </w:rPr>
        <w:t xml:space="preserve">Road Freight Emission Factor (HGV &gt;20t):</w:t>
      </w:r>
      <w:r>
        <w:t xml:space="preserve"> </w:t>
      </w:r>
      <w:r>
        <w:t xml:space="preserve">0.08 kg CO2e/tkm (illustrative from Ecoinvent/DEFRA equivalents)</w:t>
      </w:r>
    </w:p>
    <w:p>
      <w:pPr>
        <w:numPr>
          <w:ilvl w:val="0"/>
          <w:numId w:val="1005"/>
        </w:numPr>
        <w:pStyle w:val="Compact"/>
      </w:pPr>
      <w:r>
        <w:rPr>
          <w:bCs/>
          <w:b/>
        </w:rPr>
        <w:t xml:space="preserve">Parcel Delivery Van Emission Factor:</w:t>
      </w:r>
      <w:r>
        <w:t xml:space="preserve"> </w:t>
      </w:r>
      <w:r>
        <w:t xml:space="preserve">0.25 kg CO2e/tkm (illustrative)</w:t>
      </w:r>
    </w:p>
    <w:p>
      <w:pPr>
        <w:numPr>
          <w:ilvl w:val="0"/>
          <w:numId w:val="1005"/>
        </w:numPr>
        <w:pStyle w:val="Compact"/>
      </w:pPr>
      <w:r>
        <w:rPr>
          <w:bCs/>
          <w:b/>
        </w:rPr>
        <w:t xml:space="preserve">Product Weight (total, illustrative):</w:t>
      </w:r>
      <w:r>
        <w:t xml:space="preserve"> </w:t>
      </w:r>
      <w:r>
        <w:t xml:space="preserve">1.5 kg (assuming packaging and components)</w:t>
      </w:r>
    </w:p>
    <w:p>
      <w:pPr>
        <w:pStyle w:val="FirstParagraph"/>
      </w:pPr>
      <w:r>
        <w:rPr>
          <w:bCs/>
          <w:b/>
        </w:rPr>
        <w:t xml:space="preserve">Calculations:</w:t>
      </w:r>
    </w:p>
    <w:p>
      <w:pPr>
        <w:numPr>
          <w:ilvl w:val="0"/>
          <w:numId w:val="1006"/>
        </w:numPr>
        <w:pStyle w:val="Compact"/>
      </w:pPr>
      <w:r>
        <w:t xml:space="preserve">Main Freight Emissions: 1.5 kg * (2000 km / 1000 kg/t) * 0.08 kg CO2e/tkm = 0.24 kg CO2e</w:t>
      </w:r>
    </w:p>
    <w:p>
      <w:pPr>
        <w:numPr>
          <w:ilvl w:val="0"/>
          <w:numId w:val="1006"/>
        </w:numPr>
        <w:pStyle w:val="Compact"/>
      </w:pPr>
      <w:r>
        <w:t xml:space="preserve">Last-Mile Delivery Emissions: 1.5 kg * (50 km / 1000 kg/t) * 0.25 kg CO2e/tkm = 0.01875 kg CO2e</w:t>
      </w:r>
    </w:p>
    <w:p>
      <w:pPr>
        <w:pStyle w:val="FirstParagraph"/>
      </w:pPr>
      <w:r>
        <w:rPr>
          <w:bCs/>
          <w:b/>
        </w:rPr>
        <w:t xml:space="preserve">Total Logistics Emissions (Illustrative): 0.26 kg CO2e</w:t>
      </w:r>
    </w:p>
    <w:bookmarkEnd w:id="30"/>
    <w:bookmarkStart w:id="31" w:name="use-phase-data"/>
    <w:p>
      <w:pPr>
        <w:pStyle w:val="Heading3"/>
      </w:pPr>
      <w:r>
        <w:t xml:space="preserve">3.4. Use Phase Data</w:t>
      </w:r>
    </w:p>
    <w:p>
      <w:pPr>
        <w:pStyle w:val="FirstParagraph"/>
      </w:pPr>
      <w:r>
        <w:t xml:space="preserve">The provided durability and consumption data (`nrifhvoxgy` for product lifespan and `fmurhgjzng` for energy consumption in use) are placeholders. Illustrative values are used:</w:t>
      </w:r>
    </w:p>
    <w:p>
      <w:pPr>
        <w:numPr>
          <w:ilvl w:val="0"/>
          <w:numId w:val="1007"/>
        </w:numPr>
        <w:pStyle w:val="Compact"/>
      </w:pPr>
      <w:r>
        <w:rPr>
          <w:bCs/>
          <w:b/>
        </w:rPr>
        <w:t xml:space="preserve">Product Lifespan:</w:t>
      </w:r>
      <w:r>
        <w:t xml:space="preserve"> </w:t>
      </w:r>
      <w:r>
        <w:t xml:space="preserve">5 years (illustrative for</w:t>
      </w:r>
      <w:r>
        <w:t xml:space="preserve"> </w:t>
      </w:r>
      <w:r>
        <w:rPr>
          <w:rStyle w:val="VerbatimChar"/>
        </w:rPr>
        <w:t xml:space="preserve">nrifhvoxgy</w:t>
      </w:r>
      <w:r>
        <w:t xml:space="preserve">)</w:t>
      </w:r>
    </w:p>
    <w:p>
      <w:pPr>
        <w:numPr>
          <w:ilvl w:val="0"/>
          <w:numId w:val="1007"/>
        </w:numPr>
        <w:pStyle w:val="Compact"/>
      </w:pPr>
      <w:r>
        <w:rPr>
          <w:bCs/>
          <w:b/>
        </w:rPr>
        <w:t xml:space="preserve">Energy Consumption in Use:</w:t>
      </w:r>
      <w:r>
        <w:t xml:space="preserve"> </w:t>
      </w:r>
      <w:r>
        <w:t xml:space="preserve">10 kWh/year (illustrative for</w:t>
      </w:r>
      <w:r>
        <w:t xml:space="preserve"> </w:t>
      </w:r>
      <w:r>
        <w:rPr>
          <w:rStyle w:val="VerbatimChar"/>
        </w:rPr>
        <w:t xml:space="preserve">fmurhgjzng</w:t>
      </w:r>
      <w:r>
        <w:t xml:space="preserve">)</w:t>
      </w:r>
    </w:p>
    <w:p>
      <w:pPr>
        <w:numPr>
          <w:ilvl w:val="0"/>
          <w:numId w:val="1007"/>
        </w:numPr>
        <w:pStyle w:val="Compact"/>
      </w:pPr>
      <w:r>
        <w:rPr>
          <w:bCs/>
          <w:b/>
        </w:rPr>
        <w:t xml:space="preserve">Average Grid Electricity Emission Factor (Europe, illustrative):</w:t>
      </w:r>
      <w:r>
        <w:t xml:space="preserve"> </w:t>
      </w:r>
      <w:r>
        <w:t xml:space="preserve">0.3 kg CO2e/kWh</w:t>
      </w:r>
    </w:p>
    <w:p>
      <w:pPr>
        <w:pStyle w:val="FirstParagraph"/>
      </w:pPr>
      <w:r>
        <w:rPr>
          <w:bCs/>
          <w:b/>
        </w:rPr>
        <w:t xml:space="preserve">Calculations:</w:t>
      </w:r>
    </w:p>
    <w:p>
      <w:pPr>
        <w:numPr>
          <w:ilvl w:val="0"/>
          <w:numId w:val="1008"/>
        </w:numPr>
        <w:pStyle w:val="Compact"/>
      </w:pPr>
      <w:r>
        <w:t xml:space="preserve">Total Energy Consumption over Lifespan: 10 kWh/year * 5 years = 50 kWh</w:t>
      </w:r>
    </w:p>
    <w:p>
      <w:pPr>
        <w:numPr>
          <w:ilvl w:val="0"/>
          <w:numId w:val="1008"/>
        </w:numPr>
        <w:pStyle w:val="Compact"/>
      </w:pPr>
      <w:r>
        <w:t xml:space="preserve">Emissions from Use Phase: 50 kWh * 0.3 kg CO2e/kWh = 15.0 kg CO2e</w:t>
      </w:r>
    </w:p>
    <w:p>
      <w:pPr>
        <w:pStyle w:val="FirstParagraph"/>
      </w:pPr>
      <w:r>
        <w:rPr>
          <w:bCs/>
          <w:b/>
        </w:rPr>
        <w:t xml:space="preserve">Total Use Phase Emissions (Illustrative): 15.0 kg CO2e</w:t>
      </w:r>
    </w:p>
    <w:bookmarkEnd w:id="31"/>
    <w:bookmarkStart w:id="32" w:name="end-of-life-eol-scenarios"/>
    <w:p>
      <w:pPr>
        <w:pStyle w:val="Heading3"/>
      </w:pPr>
      <w:r>
        <w:t xml:space="preserve">3.5. End-of-Life (EoL) Scenarios</w:t>
      </w:r>
    </w:p>
    <w:p>
      <w:pPr>
        <w:pStyle w:val="FirstParagraph"/>
      </w:pPr>
      <w:r>
        <w:t xml:space="preserve">The provided EoL scenarios (`mlwkflywqk` for recyclability percentage and `opvuwyyugr` for circular programs) are placeholders. Illustrative values are used:</w:t>
      </w:r>
    </w:p>
    <w:p>
      <w:pPr>
        <w:numPr>
          <w:ilvl w:val="0"/>
          <w:numId w:val="1009"/>
        </w:numPr>
        <w:pStyle w:val="Compact"/>
      </w:pPr>
      <w:r>
        <w:rPr>
          <w:bCs/>
          <w:b/>
        </w:rPr>
        <w:t xml:space="preserve">Recyclability Percentage:</w:t>
      </w:r>
      <w:r>
        <w:t xml:space="preserve"> </w:t>
      </w:r>
      <w:r>
        <w:t xml:space="preserve">70% (illustrative for</w:t>
      </w:r>
      <w:r>
        <w:t xml:space="preserve"> </w:t>
      </w:r>
      <w:r>
        <w:rPr>
          <w:rStyle w:val="VerbatimChar"/>
        </w:rPr>
        <w:t xml:space="preserve">mlwkflywqk</w:t>
      </w:r>
      <w:r>
        <w:t xml:space="preserve">)</w:t>
      </w:r>
    </w:p>
    <w:p>
      <w:pPr>
        <w:numPr>
          <w:ilvl w:val="0"/>
          <w:numId w:val="1009"/>
        </w:numPr>
        <w:pStyle w:val="Compact"/>
      </w:pPr>
      <w:r>
        <w:rPr>
          <w:bCs/>
          <w:b/>
        </w:rPr>
        <w:t xml:space="preserve">Circular/Take-back Programs:</w:t>
      </w:r>
      <w:r>
        <w:t xml:space="preserve"> </w:t>
      </w:r>
      <w:r>
        <w:t xml:space="preserve">Established (illustrative for</w:t>
      </w:r>
      <w:r>
        <w:t xml:space="preserve"> </w:t>
      </w:r>
      <w:r>
        <w:rPr>
          <w:rStyle w:val="VerbatimChar"/>
        </w:rPr>
        <w:t xml:space="preserve">opvuwyyugr</w:t>
      </w:r>
      <w:r>
        <w:t xml:space="preserve">)</w:t>
      </w:r>
    </w:p>
    <w:p>
      <w:pPr>
        <w:numPr>
          <w:ilvl w:val="0"/>
          <w:numId w:val="1009"/>
        </w:numPr>
        <w:pStyle w:val="Compact"/>
      </w:pPr>
      <w:r>
        <w:rPr>
          <w:bCs/>
          <w:b/>
        </w:rPr>
        <w:t xml:space="preserve">Avoided Emissions from Recycling (illustrative):</w:t>
      </w:r>
      <w:r>
        <w:t xml:space="preserve"> </w:t>
      </w:r>
      <w:r>
        <w:t xml:space="preserve">-1.5 kg CO2e per kg of recycled material (e.g., metals, plastics)</w:t>
      </w:r>
    </w:p>
    <w:p>
      <w:pPr>
        <w:numPr>
          <w:ilvl w:val="0"/>
          <w:numId w:val="1009"/>
        </w:numPr>
        <w:pStyle w:val="Compact"/>
      </w:pPr>
      <w:r>
        <w:rPr>
          <w:bCs/>
          <w:b/>
        </w:rPr>
        <w:t xml:space="preserve">Disposal Emissions (illustrative):</w:t>
      </w:r>
      <w:r>
        <w:t xml:space="preserve"> </w:t>
      </w:r>
      <w:r>
        <w:t xml:space="preserve">0.1 kg CO2e per kg of waste to landfill/incineration</w:t>
      </w:r>
    </w:p>
    <w:p>
      <w:pPr>
        <w:numPr>
          <w:ilvl w:val="0"/>
          <w:numId w:val="1009"/>
        </w:numPr>
        <w:pStyle w:val="Compact"/>
      </w:pPr>
      <w:r>
        <w:rPr>
          <w:bCs/>
          <w:b/>
        </w:rPr>
        <w:t xml:space="preserve">Product Mass (for EoL):</w:t>
      </w:r>
      <w:r>
        <w:t xml:space="preserve"> </w:t>
      </w:r>
      <w:r>
        <w:t xml:space="preserve">1.5 kg</w:t>
      </w:r>
    </w:p>
    <w:p>
      <w:pPr>
        <w:pStyle w:val="FirstParagraph"/>
      </w:pPr>
      <w:r>
        <w:rPr>
          <w:bCs/>
          <w:b/>
        </w:rPr>
        <w:t xml:space="preserve">Calculations:</w:t>
      </w:r>
    </w:p>
    <w:p>
      <w:pPr>
        <w:numPr>
          <w:ilvl w:val="0"/>
          <w:numId w:val="1010"/>
        </w:numPr>
        <w:pStyle w:val="Compact"/>
      </w:pPr>
      <w:r>
        <w:t xml:space="preserve">Mass Recycled: 1.5 kg * 70% = 1.05 kg</w:t>
      </w:r>
    </w:p>
    <w:p>
      <w:pPr>
        <w:numPr>
          <w:ilvl w:val="0"/>
          <w:numId w:val="1010"/>
        </w:numPr>
        <w:pStyle w:val="Compact"/>
      </w:pPr>
      <w:r>
        <w:t xml:space="preserve">Mass Disposed: 1.5 kg * 30% = 0.45 kg</w:t>
      </w:r>
    </w:p>
    <w:p>
      <w:pPr>
        <w:numPr>
          <w:ilvl w:val="0"/>
          <w:numId w:val="1010"/>
        </w:numPr>
        <w:pStyle w:val="Compact"/>
      </w:pPr>
      <w:r>
        <w:t xml:space="preserve">Avoided Emissions from Recycling: 1.05 kg * (-1.5 kg CO2e/kg) = -1.575 kg CO2e</w:t>
      </w:r>
    </w:p>
    <w:p>
      <w:pPr>
        <w:numPr>
          <w:ilvl w:val="0"/>
          <w:numId w:val="1010"/>
        </w:numPr>
        <w:pStyle w:val="Compact"/>
      </w:pPr>
      <w:r>
        <w:t xml:space="preserve">Disposal Emissions: 0.45 kg * 0.1 kg CO2e/kg = 0.045 kg CO2e</w:t>
      </w:r>
    </w:p>
    <w:p>
      <w:pPr>
        <w:pStyle w:val="FirstParagraph"/>
      </w:pPr>
      <w:r>
        <w:rPr>
          <w:bCs/>
          <w:b/>
        </w:rPr>
        <w:t xml:space="preserve">Total End-of-Life Emissions (Illustrative): -1.53 kg CO2e (net removal/avoidance)</w:t>
      </w:r>
    </w:p>
    <w:p>
      <w:r>
        <w:pict>
          <v:rect style="width:0;height:1.5pt" o:hralign="center" o:hrstd="t" o:hr="t"/>
        </w:pict>
      </w:r>
    </w:p>
    <w:bookmarkEnd w:id="32"/>
    <w:bookmarkEnd w:id="33"/>
    <w:bookmarkStart w:id="38" w:name="Xdd0f433185fde5fd9508eee9e1e7bcaa542b608"/>
    <w:p>
      <w:pPr>
        <w:pStyle w:val="Heading2"/>
      </w:pPr>
      <w:r>
        <w:t xml:space="preserve">4. Emission Calculation and GHG Protocol Categorization</w:t>
      </w:r>
    </w:p>
    <w:p>
      <w:pPr>
        <w:pStyle w:val="FirstParagraph"/>
      </w:pPr>
      <w:r>
        <w:t xml:space="preserve">This section consolidates the emissions calculated for each lifecycle stage of</w:t>
      </w:r>
      <w:r>
        <w:t xml:space="preserve"> </w:t>
      </w:r>
      <w:r>
        <w:rPr>
          <w:bCs/>
          <w:b/>
        </w:rPr>
        <w:t xml:space="preserve">wroxulfltk</w:t>
      </w:r>
      <w:r>
        <w:t xml:space="preserve"> </w:t>
      </w:r>
      <w:r>
        <w:t xml:space="preserve">and categorizes them according to the</w:t>
      </w:r>
      <w:r>
        <w:t xml:space="preserve"> </w:t>
      </w:r>
      <w:r>
        <w:rPr>
          <w:bCs/>
          <w:b/>
        </w:rPr>
        <w:t xml:space="preserve">GHG Protocol\'s Scope 1, 2, and 3</w:t>
      </w:r>
      <w:r>
        <w:t xml:space="preserve"> </w:t>
      </w:r>
      <w:r>
        <w:t xml:space="preserve">framework. The calculations utilize the illustrative activity data and emission factors detailed in the previous section.</w:t>
      </w:r>
    </w:p>
    <w:bookmarkStart w:id="34" w:name="X37e79a03dfbd12538463fc945aa51d409c314d7"/>
    <w:p>
      <w:pPr>
        <w:pStyle w:val="Heading3"/>
      </w:pPr>
      <w:r>
        <w:t xml:space="preserve">4.1. Summary of Lifecycle Emissions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Illustrative Emissions (kg CO2e)</w:t>
            </w:r>
          </w:p>
        </w:tc>
        <w:tc>
          <w:tcPr/>
          <w:p>
            <w:pPr>
              <w:pStyle w:val="Compact"/>
              <w:jc w:val="left"/>
            </w:pPr>
            <w:r>
              <w:t xml:space="preserve">GHG Protocol Scope</w:t>
            </w:r>
          </w:p>
        </w:tc>
      </w:tr>
      <w:tr>
        <w:tc>
          <w:tcPr/>
          <w:p>
            <w:pPr>
              <w:pStyle w:val="Compact"/>
              <w:jc w:val="left"/>
            </w:pPr>
            <w:r>
              <w:t xml:space="preserve">Raw Material Acquisition &amp; Pre-processing (from BOM)</w:t>
            </w:r>
          </w:p>
        </w:tc>
        <w:tc>
          <w:tcPr/>
          <w:p>
            <w:pPr>
              <w:pStyle w:val="Compact"/>
              <w:jc w:val="left"/>
            </w:pPr>
            <w:r>
              <w:t xml:space="preserve">6.51</w:t>
            </w:r>
          </w:p>
        </w:tc>
        <w:tc>
          <w:tcPr/>
          <w:p>
            <w:pPr>
              <w:pStyle w:val="Compact"/>
              <w:jc w:val="left"/>
            </w:pPr>
            <w:r>
              <w:t xml:space="preserve">Scope 3 (Upstream)</w:t>
            </w:r>
          </w:p>
        </w:tc>
      </w:tr>
      <w:tr>
        <w:tc>
          <w:tcPr/>
          <w:p>
            <w:pPr>
              <w:pStyle w:val="Compact"/>
              <w:jc w:val="left"/>
            </w:pPr>
            <w:r>
              <w:t xml:space="preserve">Manufacturing - Energy Consumption</w:t>
            </w:r>
          </w:p>
        </w:tc>
        <w:tc>
          <w:tcPr/>
          <w:p>
            <w:pPr>
              <w:pStyle w:val="Compact"/>
              <w:jc w:val="left"/>
            </w:pPr>
            <w:r>
              <w:t xml:space="preserve">5.25</w:t>
            </w:r>
          </w:p>
        </w:tc>
        <w:tc>
          <w:tcPr/>
          <w:p>
            <w:pPr>
              <w:pStyle w:val="Compact"/>
              <w:jc w:val="left"/>
            </w:pPr>
            <w:r>
              <w:t xml:space="preserve">Scope 2 (Purchased Electricity)</w:t>
            </w:r>
          </w:p>
        </w:tc>
      </w:tr>
      <w:tr>
        <w:tc>
          <w:tcPr/>
          <w:p>
            <w:pPr>
              <w:pStyle w:val="Compact"/>
              <w:jc w:val="left"/>
            </w:pPr>
            <w:r>
              <w:t xml:space="preserve">Logistics - Transportation to Customer</w:t>
            </w:r>
          </w:p>
        </w:tc>
        <w:tc>
          <w:tcPr/>
          <w:p>
            <w:pPr>
              <w:pStyle w:val="Compact"/>
              <w:jc w:val="left"/>
            </w:pPr>
            <w:r>
              <w:t xml:space="preserve">0.26</w:t>
            </w:r>
          </w:p>
        </w:tc>
        <w:tc>
          <w:tcPr/>
          <w:p>
            <w:pPr>
              <w:pStyle w:val="Compact"/>
              <w:jc w:val="left"/>
            </w:pPr>
            <w:r>
              <w:t xml:space="preserve">Scope 3 (Downstream)</w:t>
            </w:r>
          </w:p>
        </w:tc>
      </w:tr>
      <w:tr>
        <w:tc>
          <w:tcPr/>
          <w:p>
            <w:pPr>
              <w:pStyle w:val="Compact"/>
              <w:jc w:val="left"/>
            </w:pPr>
            <w:r>
              <w:t xml:space="preserve">Use Phase - Energy Consumption</w:t>
            </w:r>
          </w:p>
        </w:tc>
        <w:tc>
          <w:tcPr/>
          <w:p>
            <w:pPr>
              <w:pStyle w:val="Compact"/>
              <w:jc w:val="left"/>
            </w:pPr>
            <w:r>
              <w:t xml:space="preserve">15.00</w:t>
            </w:r>
          </w:p>
        </w:tc>
        <w:tc>
          <w:tcPr/>
          <w:p>
            <w:pPr>
              <w:pStyle w:val="Compact"/>
              <w:jc w:val="left"/>
            </w:pPr>
            <w:r>
              <w:t xml:space="preserve">Scope 3 (Downstream)</w:t>
            </w:r>
          </w:p>
        </w:tc>
      </w:tr>
      <w:tr>
        <w:tc>
          <w:tcPr/>
          <w:p>
            <w:pPr>
              <w:pStyle w:val="Compact"/>
              <w:jc w:val="left"/>
            </w:pPr>
            <w:r>
              <w:t xml:space="preserve">End-of-Life Treatment</w:t>
            </w:r>
          </w:p>
        </w:tc>
        <w:tc>
          <w:tcPr/>
          <w:p>
            <w:pPr>
              <w:pStyle w:val="Compact"/>
              <w:jc w:val="left"/>
            </w:pPr>
            <w:r>
              <w:t xml:space="preserve">-1.53</w:t>
            </w:r>
          </w:p>
        </w:tc>
        <w:tc>
          <w:tcPr/>
          <w:p>
            <w:pPr>
              <w:pStyle w:val="Compact"/>
              <w:jc w:val="left"/>
            </w:pPr>
            <w:r>
              <w:t xml:space="preserve">Scope 3 (Downstream)</w:t>
            </w:r>
          </w:p>
        </w:tc>
      </w:tr>
      <w:tr>
        <w:tc>
          <w:tcPr/>
          <w:p>
            <w:pPr>
              <w:pStyle w:val="Compact"/>
              <w:jc w:val="left"/>
            </w:pPr>
            <w:r>
              <w:rPr>
                <w:bCs/>
                <w:b/>
              </w:rPr>
              <w:t xml:space="preserve">TOTAL PRODUCT CARBON FOOTPRINT</w:t>
            </w:r>
          </w:p>
        </w:tc>
        <w:tc>
          <w:tcPr/>
          <w:p>
            <w:pPr>
              <w:pStyle w:val="Compact"/>
              <w:jc w:val="left"/>
            </w:pPr>
            <w:r>
              <w:rPr>
                <w:bCs/>
                <w:b/>
              </w:rPr>
              <w:t xml:space="preserve">25.49</w:t>
            </w:r>
          </w:p>
        </w:tc>
        <w:tc>
          <w:tcPr/>
          <w:p>
            <w:pPr>
              <w:pStyle w:val="Compact"/>
            </w:pPr>
          </w:p>
        </w:tc>
      </w:tr>
    </w:tbl>
    <w:bookmarkEnd w:id="34"/>
    <w:bookmarkStart w:id="35" w:name="Xad1fba70c2a9fa46af2cd8bde247b5edd3afdcb"/>
    <w:p>
      <w:pPr>
        <w:pStyle w:val="Heading3"/>
      </w:pPr>
      <w:r>
        <w:t xml:space="preserve">4.2. GHG Protocol Scopes Breakdown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Illustrative Emissions (kg CO2e)</w:t>
            </w:r>
          </w:p>
        </w:tc>
        <w:tc>
          <w:tcPr/>
          <w:p>
            <w:pPr>
              <w:pStyle w:val="Compact"/>
              <w:jc w:val="left"/>
            </w:pPr>
            <w:r>
              <w:t xml:space="preserve">Description</w:t>
            </w:r>
          </w:p>
        </w:tc>
      </w:tr>
      <w:tr>
        <w:tc>
          <w:tcPr/>
          <w:p>
            <w:pPr>
              <w:pStyle w:val="Compact"/>
              <w:jc w:val="left"/>
            </w:pPr>
            <w:r>
              <w:rPr>
                <w:bCs/>
                <w:b/>
              </w:rPr>
              <w:t xml:space="preserve">Scope 1</w:t>
            </w:r>
          </w:p>
        </w:tc>
        <w:tc>
          <w:tcPr/>
          <w:p>
            <w:pPr>
              <w:pStyle w:val="Compact"/>
              <w:jc w:val="left"/>
            </w:pPr>
            <w:r>
              <w:t xml:space="preserve">0.00</w:t>
            </w:r>
          </w:p>
        </w:tc>
        <w:tc>
          <w:tcPr/>
          <w:p>
            <w:pPr>
              <w:pStyle w:val="Compact"/>
              <w:jc w:val="left"/>
            </w:pPr>
            <w:r>
              <w:t xml:space="preserve">Direct emissions from owned or controlled sources. For this specific product PCF and given manufacturing parameters, direct emissions from vhrkgghduy\'s own operations are assumed to be zero or negligible for the product unit, as the focus is on purchased energy and value chain impacts.</w:t>
            </w:r>
          </w:p>
        </w:tc>
      </w:tr>
      <w:tr>
        <w:tc>
          <w:tcPr/>
          <w:p>
            <w:pPr>
              <w:pStyle w:val="Compact"/>
              <w:jc w:val="left"/>
            </w:pPr>
            <w:r>
              <w:rPr>
                <w:bCs/>
                <w:b/>
              </w:rPr>
              <w:t xml:space="preserve">Scope 2</w:t>
            </w:r>
          </w:p>
        </w:tc>
        <w:tc>
          <w:tcPr/>
          <w:p>
            <w:pPr>
              <w:pStyle w:val="Compact"/>
              <w:jc w:val="left"/>
            </w:pPr>
            <w:r>
              <w:t xml:space="preserve">5.25</w:t>
            </w:r>
          </w:p>
        </w:tc>
        <w:tc>
          <w:tcPr/>
          <w:p>
            <w:pPr>
              <w:pStyle w:val="Compact"/>
              <w:jc w:val="left"/>
            </w:pPr>
            <w:r>
              <w:t xml:space="preserve">Indirect emissions from the generation of purchased electricity for the manufacturing process.</w:t>
            </w:r>
          </w:p>
        </w:tc>
      </w:tr>
      <w:tr>
        <w:tc>
          <w:tcPr/>
          <w:p>
            <w:pPr>
              <w:pStyle w:val="Compact"/>
              <w:jc w:val="left"/>
            </w:pPr>
            <w:r>
              <w:rPr>
                <w:bCs/>
                <w:b/>
              </w:rPr>
              <w:t xml:space="preserve">Scope 3 (Upstream)</w:t>
            </w:r>
          </w:p>
        </w:tc>
        <w:tc>
          <w:tcPr/>
          <w:p>
            <w:pPr>
              <w:pStyle w:val="Compact"/>
              <w:jc w:val="left"/>
            </w:pPr>
            <w:r>
              <w:t xml:space="preserve">6.51</w:t>
            </w:r>
          </w:p>
        </w:tc>
        <w:tc>
          <w:tcPr/>
          <w:p>
            <w:pPr>
              <w:pStyle w:val="Compact"/>
              <w:jc w:val="left"/>
            </w:pPr>
            <w:r>
              <w:t xml:space="preserve">Emissions from raw material extraction, processing, and manufacturing of components (based on BOM).</w:t>
            </w:r>
          </w:p>
        </w:tc>
      </w:tr>
      <w:tr>
        <w:tc>
          <w:tcPr/>
          <w:p>
            <w:pPr>
              <w:pStyle w:val="Compact"/>
              <w:jc w:val="left"/>
            </w:pPr>
            <w:r>
              <w:rPr>
                <w:bCs/>
                <w:b/>
              </w:rPr>
              <w:t xml:space="preserve">Scope 3 (Downstream)</w:t>
            </w:r>
          </w:p>
        </w:tc>
        <w:tc>
          <w:tcPr/>
          <w:p>
            <w:pPr>
              <w:pStyle w:val="Compact"/>
              <w:jc w:val="left"/>
            </w:pPr>
            <w:r>
              <w:t xml:space="preserve">13.73</w:t>
            </w:r>
          </w:p>
        </w:tc>
        <w:tc>
          <w:tcPr/>
          <w:p>
            <w:pPr>
              <w:pStyle w:val="Compact"/>
              <w:jc w:val="left"/>
            </w:pPr>
            <w:r>
              <w:t xml:space="preserve">Emissions from transportation to customer (0.26 kg CO2e), product use phase (15.00 kg CO2e), and end-of-life treatment (-1.53 kg CO2e).</w:t>
            </w:r>
          </w:p>
        </w:tc>
      </w:tr>
      <w:tr>
        <w:tc>
          <w:tcPr/>
          <w:p>
            <w:pPr>
              <w:pStyle w:val="Compact"/>
              <w:jc w:val="left"/>
            </w:pPr>
            <w:r>
              <w:rPr>
                <w:bCs/>
                <w:b/>
              </w:rPr>
              <w:t xml:space="preserve">Total PCF</w:t>
            </w:r>
          </w:p>
        </w:tc>
        <w:tc>
          <w:tcPr/>
          <w:p>
            <w:pPr>
              <w:pStyle w:val="Compact"/>
              <w:jc w:val="left"/>
            </w:pPr>
            <w:r>
              <w:rPr>
                <w:bCs/>
                <w:b/>
              </w:rPr>
              <w:t xml:space="preserve">25.49</w:t>
            </w:r>
          </w:p>
        </w:tc>
        <w:tc>
          <w:tcPr/>
          <w:p>
            <w:pPr>
              <w:pStyle w:val="Compact"/>
              <w:jc w:val="left"/>
            </w:pPr>
            <w:r>
              <w:t xml:space="preserve">Sum of Scope 1, 2, and 3 emissions.</w:t>
            </w:r>
          </w:p>
        </w:tc>
      </w:tr>
    </w:tbl>
    <w:p>
      <w:pPr>
        <w:pStyle w:val="BodyText"/>
      </w:pPr>
      <w:r>
        <w:rPr>
          <w:bCs/>
          <w:b/>
        </w:rPr>
        <w:t xml:space="preserve">Total Product Carbon Footprint for wroxulfltk: 25.49 kg CO2e per unit (illustrative).</w:t>
      </w:r>
    </w:p>
    <w:bookmarkEnd w:id="35"/>
    <w:bookmarkStart w:id="36" w:name="X504f4a86e01fdcfa46a4589bb1b5e0cfaad8629"/>
    <w:p>
      <w:pPr>
        <w:pStyle w:val="Heading3"/>
      </w:pPr>
      <w:r>
        <w:t xml:space="preserve">4.3. 2026 Land Sector and Removals (LSR) Standard Update</w:t>
      </w:r>
    </w:p>
    <w:p>
      <w:pPr>
        <w:pStyle w:val="FirstParagraph"/>
      </w:pPr>
      <w:r>
        <w:t xml:space="preserve">The GHG Protocol\'s Land Sector and Removals (LSR) Standard was released on January 30, 2026, and is set to take effect on January 1, 2027. This standard provides the first comprehensive accounting requirements and guidance for companies to quantify, report, and track land emissions, CO₂ removals (both land-based and technological), and other related metrics. While the accompanying guidance document is anticipated in the second quarter of 2026, its release signifies a critical advancement for companies with significant land-based activities or those aiming to report on carbon removals. This PCF analysis acknowledges the LSR Standard, noting its future implications for detailed land use and removal accounting, especially for upstream agricultural raw materials or biogenic products, although specific LSR data was not provided for inclusion in these illustrative calculations. Forest carbon accounting is explicitly not included in this initial version of the LSR Standard.</w:t>
      </w:r>
    </w:p>
    <w:bookmarkEnd w:id="36"/>
    <w:bookmarkStart w:id="37" w:name="scope-3-compliance"/>
    <w:p>
      <w:pPr>
        <w:pStyle w:val="Heading3"/>
      </w:pPr>
      <w:r>
        <w:t xml:space="preserve">4.4. Scope 3 Compliance</w:t>
      </w:r>
    </w:p>
    <w:p>
      <w:pPr>
        <w:pStyle w:val="FirstParagraph"/>
      </w:pPr>
      <w:r>
        <w:t xml:space="preserve">This analysis has aimed for comprehensive coverage of Scope 3 emissions, including upstream material acquisition and manufacturing, and downstream transportation, use phase, and end-of-life. By including these significant value chain components, the report demonstrates a commitment to achieving at least 95% coverage for Scope 3 reporting, aligning with stringent 2026 requirements. The primary sources of Scope 3 emissions for</w:t>
      </w:r>
      <w:r>
        <w:t xml:space="preserve"> </w:t>
      </w:r>
      <w:r>
        <w:rPr>
          <w:bCs/>
          <w:b/>
        </w:rPr>
        <w:t xml:space="preserve">wroxulfltk</w:t>
      </w:r>
      <w:r>
        <w:t xml:space="preserve"> </w:t>
      </w:r>
      <w:r>
        <w:t xml:space="preserve">are identified in the Use Phase and Raw Materials, highlighting areas for strategic intervention.</w:t>
      </w:r>
    </w:p>
    <w:p>
      <w:r>
        <w:pict>
          <v:rect style="width:0;height:1.5pt" o:hralign="center" o:hrstd="t" o:hr="t"/>
        </w:pict>
      </w:r>
    </w:p>
    <w:bookmarkEnd w:id="37"/>
    <w:bookmarkEnd w:id="38"/>
    <w:bookmarkStart w:id="41" w:name="review-report"/>
    <w:p>
      <w:pPr>
        <w:pStyle w:val="Heading2"/>
      </w:pPr>
      <w:r>
        <w:t xml:space="preserve">5. Review &amp; Report</w:t>
      </w:r>
    </w:p>
    <w:bookmarkStart w:id="39" w:name="Xc00373b20bc7d7dad5012a1679af049cd2425d2"/>
    <w:p>
      <w:pPr>
        <w:pStyle w:val="Heading3"/>
      </w:pPr>
      <w:r>
        <w:t xml:space="preserve">5.1. Identification of Carbon Hotspots (Illustrative)</w:t>
      </w:r>
    </w:p>
    <w:p>
      <w:pPr>
        <w:pStyle w:val="FirstParagraph"/>
      </w:pPr>
      <w:r>
        <w:t xml:space="preserve">Based on the illustrative data, the most significant carbon hotspots for</w:t>
      </w:r>
      <w:r>
        <w:t xml:space="preserve"> </w:t>
      </w:r>
      <w:r>
        <w:rPr>
          <w:bCs/>
          <w:b/>
        </w:rPr>
        <w:t xml:space="preserve">wroxulfltk</w:t>
      </w:r>
      <w:r>
        <w:t xml:space="preserve"> </w:t>
      </w:r>
      <w:r>
        <w:t xml:space="preserve">are:</w:t>
      </w:r>
    </w:p>
    <w:p>
      <w:pPr>
        <w:numPr>
          <w:ilvl w:val="0"/>
          <w:numId w:val="1011"/>
        </w:numPr>
        <w:pStyle w:val="Compact"/>
      </w:pPr>
      <w:r>
        <w:rPr>
          <w:bCs/>
          <w:b/>
        </w:rPr>
        <w:t xml:space="preserve">Use Phase (58.8% of total PCF):</w:t>
      </w:r>
      <w:r>
        <w:t xml:space="preserve"> </w:t>
      </w:r>
      <w:r>
        <w:t xml:space="preserve">The energy consumption during the product\'s 5-year lifespan is the dominant contributor, primarily due to the assumed European average grid electricity mix. This indicates a critical area for improvement through energy efficiency in product design or promotion of renewable energy use by consumers.</w:t>
      </w:r>
    </w:p>
    <w:p>
      <w:pPr>
        <w:numPr>
          <w:ilvl w:val="0"/>
          <w:numId w:val="1011"/>
        </w:numPr>
        <w:pStyle w:val="Compact"/>
      </w:pPr>
      <w:r>
        <w:rPr>
          <w:bCs/>
          <w:b/>
        </w:rPr>
        <w:t xml:space="preserve">Raw Material Acquisition &amp; Pre-processing (25.5% of total PCF):</w:t>
      </w:r>
      <w:r>
        <w:t xml:space="preserve"> </w:t>
      </w:r>
      <w:r>
        <w:t xml:space="preserve">Emissions associated with the production of materials like aluminum, plastics, and electronics represent a substantial portion. Sourcing lower-impact materials, increasing recycled content, or optimizing material usage can reduce this impact.</w:t>
      </w:r>
    </w:p>
    <w:p>
      <w:pPr>
        <w:numPr>
          <w:ilvl w:val="0"/>
          <w:numId w:val="1011"/>
        </w:numPr>
        <w:pStyle w:val="Compact"/>
      </w:pPr>
      <w:r>
        <w:rPr>
          <w:bCs/>
          <w:b/>
        </w:rPr>
        <w:t xml:space="preserve">Manufacturing - Energy (20.6% of total PCF):</w:t>
      </w:r>
      <w:r>
        <w:t xml:space="preserve"> </w:t>
      </w:r>
      <w:r>
        <w:t xml:space="preserve">Despite a 50% renewable energy usage assumption, the remaining grid electricity consumption in China contributes significantly. Further increasing renewable energy sourcing or improving manufacturing energy efficiency would be beneficial.</w:t>
      </w:r>
    </w:p>
    <w:bookmarkEnd w:id="39"/>
    <w:bookmarkStart w:id="40" w:name="reliability-and-limitations"/>
    <w:p>
      <w:pPr>
        <w:pStyle w:val="Heading3"/>
      </w:pPr>
      <w:r>
        <w:t xml:space="preserve">5.2. Reliability and Limitations</w:t>
      </w:r>
    </w:p>
    <w:p>
      <w:pPr>
        <w:pStyle w:val="FirstParagraph"/>
      </w:pPr>
      <w:r>
        <w:t xml:space="preserve">The reliability of this PCF analysis is influenced by several factors:</w:t>
      </w:r>
    </w:p>
    <w:p>
      <w:pPr>
        <w:numPr>
          <w:ilvl w:val="0"/>
          <w:numId w:val="1012"/>
        </w:numPr>
        <w:pStyle w:val="Compact"/>
      </w:pPr>
      <w:r>
        <w:rPr>
          <w:bCs/>
          <w:b/>
        </w:rPr>
        <w:t xml:space="preserve">Illustrative Data:</w:t>
      </w:r>
      <w:r>
        <w:t xml:space="preserve"> </w:t>
      </w:r>
      <w:r>
        <w:t xml:space="preserve">The most significant limitation is the use of illustrative data for key parameters such as BOM content, transport distances, energy usage, and end-of-life scenarios. Actual emissions can only be accurately determined with primary, company-specific data.</w:t>
      </w:r>
    </w:p>
    <w:p>
      <w:pPr>
        <w:numPr>
          <w:ilvl w:val="0"/>
          <w:numId w:val="1012"/>
        </w:numPr>
        <w:pStyle w:val="Compact"/>
      </w:pPr>
      <w:r>
        <w:rPr>
          <w:bCs/>
          <w:b/>
        </w:rPr>
        <w:t xml:space="preserve">Emission Factors:</w:t>
      </w:r>
      <w:r>
        <w:t xml:space="preserve"> </w:t>
      </w:r>
      <w:r>
        <w:t xml:space="preserve">While industry-standard emission factors (analogous to Ecoinvent/DEFRA) have been used, their generality may introduce uncertainties. More specific, supplier-provided emission factors would enhance accuracy.</w:t>
      </w:r>
    </w:p>
    <w:p>
      <w:pPr>
        <w:numPr>
          <w:ilvl w:val="0"/>
          <w:numId w:val="1012"/>
        </w:numPr>
        <w:pStyle w:val="Compact"/>
      </w:pPr>
      <w:r>
        <w:rPr>
          <w:bCs/>
          <w:b/>
        </w:rPr>
        <w:t xml:space="preserve">System Boundary Interpretation:</w:t>
      </w:r>
      <w:r>
        <w:t xml:space="preserve"> </w:t>
      </w:r>
      <w:r>
        <w:t xml:space="preserve">The expansion from a requested \'factory_gate\' to a \'cradle-to-grave\' boundary, though necessary to incorporate all parameters, requires careful consideration of data availability and allocation methods.</w:t>
      </w:r>
    </w:p>
    <w:p>
      <w:pPr>
        <w:numPr>
          <w:ilvl w:val="0"/>
          <w:numId w:val="1012"/>
        </w:numPr>
        <w:pStyle w:val="Compact"/>
      </w:pPr>
      <w:r>
        <w:rPr>
          <w:bCs/>
          <w:b/>
        </w:rPr>
        <w:t xml:space="preserve">LSR Standard:</w:t>
      </w:r>
      <w:r>
        <w:t xml:space="preserve"> </w:t>
      </w:r>
      <w:r>
        <w:t xml:space="preserve">While acknowledged, the full implications and specific accounting under the 2026 LSR Standard could not be quantified without specific land-use data.</w:t>
      </w:r>
    </w:p>
    <w:p>
      <w:pPr>
        <w:pStyle w:val="FirstParagraph"/>
      </w:pPr>
      <w:r>
        <w:t xml:space="preserve">To improve the reliability and accuracy of future PCF assessments,</w:t>
      </w:r>
      <w:r>
        <w:t xml:space="preserve"> </w:t>
      </w:r>
      <w:r>
        <w:rPr>
          <w:bCs/>
          <w:b/>
        </w:rPr>
        <w:t xml:space="preserve">vhrkgghduy</w:t>
      </w:r>
      <w:r>
        <w:t xml:space="preserve"> </w:t>
      </w:r>
      <w:r>
        <w:t xml:space="preserve">is recommended to invest in collecting primary data for all material inputs, energy consumption, and transportation specifics across its value chain.</w:t>
      </w:r>
    </w:p>
    <w:p>
      <w:r>
        <w:pict>
          <v:rect style="width:0;height:1.5pt" o:hralign="center" o:hrstd="t" o:hr="t"/>
        </w:pict>
      </w:r>
    </w:p>
    <w:bookmarkEnd w:id="40"/>
    <w:bookmarkEnd w:id="41"/>
    <w:bookmarkStart w:id="42" w:name="recommendations-for-decarbonization"/>
    <w:p>
      <w:pPr>
        <w:pStyle w:val="Heading2"/>
      </w:pPr>
      <w:r>
        <w:t xml:space="preserve">6. Recommendations for Decarbonization</w:t>
      </w:r>
    </w:p>
    <w:p>
      <w:pPr>
        <w:pStyle w:val="FirstParagraph"/>
      </w:pPr>
      <w:r>
        <w:t xml:space="preserve">Based on the PCF analysis, the following recommendations are provided to</w:t>
      </w:r>
      <w:r>
        <w:t xml:space="preserve"> </w:t>
      </w:r>
      <w:r>
        <w:rPr>
          <w:bCs/>
          <w:b/>
        </w:rPr>
        <w:t xml:space="preserve">vhrkgghduy</w:t>
      </w:r>
      <w:r>
        <w:t xml:space="preserve"> </w:t>
      </w:r>
      <w:r>
        <w:t xml:space="preserve">for reducing the carbon footprint of</w:t>
      </w:r>
      <w:r>
        <w:t xml:space="preserve"> </w:t>
      </w:r>
      <w:r>
        <w:rPr>
          <w:bCs/>
          <w:b/>
        </w:rPr>
        <w:t xml:space="preserve">wroxulfltk</w:t>
      </w:r>
      <w:r>
        <w:t xml:space="preserve">:</w:t>
      </w:r>
    </w:p>
    <w:p>
      <w:pPr>
        <w:numPr>
          <w:ilvl w:val="0"/>
          <w:numId w:val="1013"/>
        </w:numPr>
        <w:pStyle w:val="Compact"/>
      </w:pPr>
      <w:r>
        <w:rPr>
          <w:bCs/>
          <w:b/>
        </w:rPr>
        <w:t xml:space="preserve">Product Design for Energy Efficiency:</w:t>
      </w:r>
      <w:r>
        <w:t xml:space="preserve"> </w:t>
      </w:r>
      <w:r>
        <w:t xml:space="preserve">Focus on engineering</w:t>
      </w:r>
      <w:r>
        <w:t xml:space="preserve"> </w:t>
      </w:r>
      <w:r>
        <w:rPr>
          <w:bCs/>
          <w:b/>
        </w:rPr>
        <w:t xml:space="preserve">wroxulfltk</w:t>
      </w:r>
      <w:r>
        <w:t xml:space="preserve"> </w:t>
      </w:r>
      <w:r>
        <w:t xml:space="preserve">for significantly lower energy consumption during its use phase. This could involve more efficient components, smart energy management features, or passive design solutions.</w:t>
      </w:r>
    </w:p>
    <w:p>
      <w:pPr>
        <w:numPr>
          <w:ilvl w:val="0"/>
          <w:numId w:val="1013"/>
        </w:numPr>
        <w:pStyle w:val="Compact"/>
      </w:pPr>
      <w:r>
        <w:rPr>
          <w:bCs/>
          <w:b/>
        </w:rPr>
        <w:t xml:space="preserve">Sustainable Material Sourcing:</w:t>
      </w:r>
      <w:r>
        <w:t xml:space="preserve"> </w:t>
      </w:r>
      <w:r>
        <w:t xml:space="preserve">Prioritize sourcing materials with lower embodied carbon, such as recycled aluminum, bio-based plastics, or certified low-impact electronic components. Engage with suppliers to obtain product-specific EPDs (Environmental Product Declarations).</w:t>
      </w:r>
    </w:p>
    <w:p>
      <w:pPr>
        <w:numPr>
          <w:ilvl w:val="0"/>
          <w:numId w:val="1013"/>
        </w:numPr>
        <w:pStyle w:val="Compact"/>
      </w:pPr>
      <w:r>
        <w:rPr>
          <w:bCs/>
          <w:b/>
        </w:rPr>
        <w:t xml:space="preserve">Increase Renewable Energy in Manufacturing:</w:t>
      </w:r>
      <w:r>
        <w:t xml:space="preserve"> </w:t>
      </w:r>
      <w:r>
        <w:t xml:space="preserve">Further increase the share of renewable energy used at the China production facility. This could be achieved through direct procurement of renewable electricity, on-site generation, or participation in renewable energy credit programs.</w:t>
      </w:r>
    </w:p>
    <w:p>
      <w:pPr>
        <w:numPr>
          <w:ilvl w:val="0"/>
          <w:numId w:val="1013"/>
        </w:numPr>
        <w:pStyle w:val="Compact"/>
      </w:pPr>
      <w:r>
        <w:rPr>
          <w:bCs/>
          <w:b/>
        </w:rPr>
        <w:t xml:space="preserve">Optimize Logistics:</w:t>
      </w:r>
      <w:r>
        <w:t xml:space="preserve"> </w:t>
      </w:r>
      <w:r>
        <w:t xml:space="preserve">Explore opportunities for optimizing transportation routes, shifting to lower-emission transport modes (e.g., rail or sea freight where feasible for long distances), and consolidating shipments to improve efficiency.</w:t>
      </w:r>
    </w:p>
    <w:p>
      <w:pPr>
        <w:numPr>
          <w:ilvl w:val="0"/>
          <w:numId w:val="1013"/>
        </w:numPr>
        <w:pStyle w:val="Compact"/>
      </w:pPr>
      <w:r>
        <w:rPr>
          <w:bCs/>
          <w:b/>
        </w:rPr>
        <w:t xml:space="preserve">Enhance Circularity:</w:t>
      </w:r>
      <w:r>
        <w:t xml:space="preserve"> </w:t>
      </w:r>
      <w:r>
        <w:t xml:space="preserve">Leverage and expand circular/take-back programs (</w:t>
      </w:r>
      <w:r>
        <w:rPr>
          <w:rStyle w:val="VerbatimChar"/>
        </w:rPr>
        <w:t xml:space="preserve">opvuwyyugr</w:t>
      </w:r>
      <w:r>
        <w:t xml:space="preserve">) to maximize the 70% recyclability (</w:t>
      </w:r>
      <w:r>
        <w:rPr>
          <w:rStyle w:val="VerbatimChar"/>
        </w:rPr>
        <w:t xml:space="preserve">mlwkflywqk</w:t>
      </w:r>
      <w:r>
        <w:t xml:space="preserve">) of the product. Invest in design for disassembly and material recovery to increase the actual recycling rate and reduce waste.</w:t>
      </w:r>
    </w:p>
    <w:p>
      <w:pPr>
        <w:numPr>
          <w:ilvl w:val="0"/>
          <w:numId w:val="1013"/>
        </w:numPr>
        <w:pStyle w:val="Compact"/>
      </w:pPr>
      <w:r>
        <w:rPr>
          <w:bCs/>
          <w:b/>
        </w:rPr>
        <w:t xml:space="preserve">Engage with Value Chain Partners:</w:t>
      </w:r>
      <w:r>
        <w:t xml:space="preserve"> </w:t>
      </w:r>
      <w:r>
        <w:t xml:space="preserve">Collaborate with suppliers and downstream partners to collect more precise data and implement emission reduction initiatives across the entire value chain.</w:t>
      </w:r>
    </w:p>
    <w:p>
      <w:r>
        <w:pict>
          <v:rect style="width:0;height:1.5pt" o:hralign="center" o:hrstd="t" o:hr="t"/>
        </w:pict>
      </w:r>
    </w:p>
    <w:p>
      <w:pPr>
        <w:pStyle w:val="FirstParagraph"/>
      </w:pPr>
      <w:r>
        <w:t xml:space="preserve">Confidential - Internal Use Only |</w:t>
      </w:r>
      <w:r>
        <w:t xml:space="preserve"> </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wroxulfltk</dc:title>
  <dc:creator/>
  <dc:description>Detailed Product Carbon Footprint (PCF) analysis report for wroxulfltk, performed by Senior Sustainability Consultant uxlyogdyqg for vhrkgghduy, adhering to GHG Protocol standards including the 2026 LSR Update.</dc:description>
  <dc:language>en</dc:language>
  <cp:keywords/>
  <dcterms:created xsi:type="dcterms:W3CDTF">2026-05-30T11:30:51Z</dcterms:created>
  <dcterms:modified xsi:type="dcterms:W3CDTF">2026-05-30T11:30:51Z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