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wrnlepzmqq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wrnlepzmqq</w:t>
      </w:r>
    </w:p>
    <w:p>
      <w:pPr>
        <w:pStyle w:val="BodyText"/>
      </w:pPr>
      <w:r>
        <w:rPr>
          <w:bCs/>
          <w:b/>
        </w:rPr>
        <w:t xml:space="preserve">Company Name:</w:t>
      </w:r>
      <w:r>
        <w:t xml:space="preserve"> </w:t>
      </w:r>
      <w:r>
        <w:t xml:space="preserve">ejkqsfqdqy</w:t>
      </w:r>
    </w:p>
    <w:p>
      <w:pPr>
        <w:pStyle w:val="BodyText"/>
      </w:pPr>
      <w:r>
        <w:rPr>
          <w:bCs/>
          <w:b/>
        </w:rPr>
        <w:t xml:space="preserve">Senior Sustainability Consultant:</w:t>
      </w:r>
      <w:r>
        <w:t xml:space="preserve"> </w:t>
      </w:r>
      <w:r>
        <w:t xml:space="preserve">pwshhkfohg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and adherence to the GHG Protocol, specific emission factors and data assumptions may influence the final footprint.</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wrnlepzmqq</w:t>
      </w:r>
    </w:p>
    <w:p>
      <w:pPr>
        <w:pStyle w:val="BodyText"/>
      </w:pPr>
      <w:r>
        <w:rPr>
          <w:bCs/>
          <w:b/>
        </w:rPr>
        <w:t xml:space="preserve">Generated Date:</w:t>
      </w:r>
      <w:r>
        <w:t xml:space="preserve"> </w:t>
      </w:r>
      <w:r>
        <w:t xml:space="preserve">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wrnlepzmqq</w:t>
      </w:r>
      <w:r>
        <w:t xml:space="preserve"> </w:t>
      </w:r>
      <w:r>
        <w:t xml:space="preserve">manufactured by</w:t>
      </w:r>
      <w:r>
        <w:t xml:space="preserve"> </w:t>
      </w:r>
      <w:r>
        <w:rPr>
          <w:bCs/>
          <w:b/>
        </w:rPr>
        <w:t xml:space="preserve">ejkqsfqdqy</w:t>
      </w:r>
      <w:r>
        <w:t xml:space="preserve">. Conducted by Senior Sustainability Consultant</w:t>
      </w:r>
      <w:r>
        <w:t xml:space="preserve"> </w:t>
      </w:r>
      <w:r>
        <w:rPr>
          <w:bCs/>
          <w:b/>
        </w:rPr>
        <w:t xml:space="preserve">pwshhkfohg</w:t>
      </w:r>
      <w:r>
        <w:t xml:space="preserve">, this analysis adheres strictly to the GHG Protocol, incorporating the latest 2026 Land Sector and Removals (LSR) Standard updates and aiming for 95% Scope 3 coverage. The primary goal is to quantify the greenhouse gas (GHG) emissions associated with the product’s lifecycle, from raw material extraction to end-of-life, to identify hotspots and inform decarbonization strategies. The total calculated Product Carbon Footprint for one functional unit of wrnlepzmqq is **20.08 kg CO2e**. The use phase accounts for the largest portion of this footprint, highlighting an area for significant impact reduction.</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PCF analysis is built upon clearly defined parameters to ensure accuracy, relevance, and consistency with the GHG Protocol.</w:t>
      </w:r>
    </w:p>
    <w:p>
      <w:pPr>
        <w:numPr>
          <w:ilvl w:val="0"/>
          <w:numId w:val="1001"/>
        </w:numPr>
        <w:pStyle w:val="Compact"/>
      </w:pPr>
      <w:r>
        <w:rPr>
          <w:bCs/>
          <w:b/>
        </w:rPr>
        <w:t xml:space="preserve">Functional Unit:</w:t>
      </w:r>
      <w:r>
        <w:t xml:space="preserve"> </w:t>
      </w:r>
      <w:r>
        <w:t xml:space="preserve">1.0 unit of wrnlepzmqq.</w:t>
      </w:r>
    </w:p>
    <w:p>
      <w:pPr>
        <w:numPr>
          <w:ilvl w:val="0"/>
          <w:numId w:val="1001"/>
        </w:numPr>
        <w:pStyle w:val="Compact"/>
      </w:pPr>
      <w:r>
        <w:rPr>
          <w:bCs/>
          <w:b/>
        </w:rPr>
        <w:t xml:space="preserve">System Boundary:</w:t>
      </w:r>
      <w:r>
        <w:t xml:space="preserve"> </w:t>
      </w:r>
      <w:r>
        <w:t xml:space="preserve">Cradle-to-grave, with a primary focus on "factory_gate" for direct operational control. However, upstream (raw materials, transport) and downstream (use phase, end-of-life) impacts are comprehensively included within Scope 3 as per GHG Protocol requirements.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(Corporate Value Chain (Scope 3) Accounting and Reporting Standard and relevant aspects of the Corporate Standard).</w:t>
      </w:r>
    </w:p>
    <w:p>
      <w:pPr>
        <w:numPr>
          <w:ilvl w:val="0"/>
          <w:numId w:val="1001"/>
        </w:numPr>
        <w:pStyle w:val="Compact"/>
      </w:pPr>
      <w:r>
        <w:rPr>
          <w:bCs/>
          <w:b/>
        </w:rPr>
        <w:t xml:space="preserve">Allocation:</w:t>
      </w:r>
      <w:r>
        <w:t xml:space="preserve"> </w:t>
      </w:r>
      <w:r>
        <w:t xml:space="preserve">Emissions are fully allocated to the product wrnlepzmqq, as this analysis focuses on a single product. No co-product or recycling allocation complexities were encountered.</w:t>
      </w:r>
    </w:p>
    <w:p>
      <w:pPr>
        <w:pStyle w:val="FirstParagraph"/>
      </w:pPr>
      <w:r>
        <w:t xml:space="preserve">In alignment with the</w:t>
      </w:r>
      <w:r>
        <w:t xml:space="preserve"> </w:t>
      </w:r>
      <w:r>
        <w:rPr>
          <w:bCs/>
          <w:b/>
        </w:rPr>
        <w:t xml:space="preserve">2026 LSR Update</w:t>
      </w:r>
      <w:r>
        <w:t xml:space="preserve">, this report acknowledges the Land Sector and Removals (LSR) Standard, effective January 1, 2027. The LSR Standard provides guidance for quantifying and reporting land emissions and CO2 removals, particularly from agricultural production and land use change. While specific land use data for wrnlepzmqq\'s raw materials was not available at a granular level, the principles of tracking and reporting these impacts are considered foundational for future, more detailed assessments. The accompanying guidance for the LSR Standard is anticipated in Q2 2026, which will further refine implementation.</w:t>
      </w:r>
    </w:p>
    <w:p>
      <w:r>
        <w:pict>
          <v:rect style="width:0;height:1.5pt" o:hralign="center" o:hrstd="t" o:hr="t"/>
        </w:pict>
      </w:r>
    </w:p>
    <w:bookmarkEnd w:id="23"/>
    <w:bookmarkStart w:id="26" w:name="lifecycle-mapping-lci-inventory-stages"/>
    <w:p>
      <w:pPr>
        <w:pStyle w:val="Heading2"/>
      </w:pPr>
      <w:r>
        <w:t xml:space="preserve">2. Lifecycle Mapping (LCI Inventory Stages)</w:t>
      </w:r>
    </w:p>
    <w:p>
      <w:pPr>
        <w:pStyle w:val="FirstParagraph"/>
      </w:pPr>
      <w:r>
        <w:t xml:space="preserve">The lifecycle of wrnlepzmqq has been mapped across key stages, detailing material and energy flows to create a comprehensive Life Cycle Inventory (LCI).</w:t>
      </w:r>
    </w:p>
    <w:bookmarkStart w:id="24" w:name="X79a0c75f10fd5d5807c0223dfd3a78c04b87c92"/>
    <w:p>
      <w:pPr>
        <w:pStyle w:val="Heading3"/>
      </w:pPr>
      <w:r>
        <w:t xml:space="preserve">Material Inputs (Detailed Bill of Materials: tvotorvt)</w:t>
      </w:r>
    </w:p>
    <w:p>
      <w:pPr>
        <w:pStyle w:val="FirstParagraph"/>
      </w:pPr>
      <w:r>
        <w:t xml:space="preserve">The following Bill of Materials (BOM) provides a high-accuracy calculation of material impacts, with specific emission factors and total carbon values used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BOM002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BOM003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22.0</w:t>
            </w:r>
          </w:p>
        </w:tc>
        <w:tc>
          <w:tcPr/>
          <w:p>
            <w:pPr>
              <w:pStyle w:val="Compact"/>
              <w:jc w:val="left"/>
            </w:pPr>
            <w:r>
              <w:t xml:space="preserve">1.76</w:t>
            </w:r>
          </w:p>
        </w:tc>
      </w:tr>
      <w:tr>
        <w:tc>
          <w:tcPr/>
          <w:p>
            <w:pPr>
              <w:pStyle w:val="Compact"/>
              <w:jc w:val="left"/>
            </w:pPr>
            <w:r>
              <w:t xml:space="preserve">BOM004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BOM005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bl>
    <w:p>
      <w:pPr>
        <w:pStyle w:val="BodyText"/>
      </w:pPr>
      <w:r>
        <w:t xml:space="preserve">The total mass of the product (excluding packaging for internal calculations of product-specific transport, but including packaging for overall material impact) is 0.6 kg. The total carbon impact from raw materials as per the provided BOM is 4.185 kg CO2e.</w:t>
      </w:r>
    </w:p>
    <w:bookmarkEnd w:id="24"/>
    <w:bookmarkStart w:id="25" w:name="energy-inputs-and-consumption-stages"/>
    <w:p>
      <w:pPr>
        <w:pStyle w:val="Heading3"/>
      </w:pPr>
      <w:r>
        <w:t xml:space="preserve">Energy Inputs and Consumption Stages</w:t>
      </w:r>
    </w:p>
    <w:p>
      <w:pPr>
        <w:numPr>
          <w:ilvl w:val="0"/>
          <w:numId w:val="1003"/>
        </w:numPr>
        <w:pStyle w:val="Compact"/>
      </w:pPr>
      <w:r>
        <w:rPr>
          <w:bCs/>
          <w:b/>
        </w:rPr>
        <w:t xml:space="preserve">Raw Material Extraction &amp; Processing:</w:t>
      </w:r>
      <w:r>
        <w:t xml:space="preserve"> </w:t>
      </w:r>
      <w:r>
        <w:t xml:space="preserve">Emissions are embedded within the \'Total Carbon\' values provided in the BOM.</w:t>
      </w:r>
    </w:p>
    <w:p>
      <w:pPr>
        <w:numPr>
          <w:ilvl w:val="0"/>
          <w:numId w:val="1003"/>
        </w:numPr>
        <w:pStyle w:val="Compact"/>
      </w:pPr>
      <w:r>
        <w:rPr>
          <w:bCs/>
          <w:b/>
        </w:rPr>
        <w:t xml:space="preserve">Manufacturing (ejkqsfqdqy\'s operations in China):</w:t>
      </w:r>
      <w:r>
        <w:t xml:space="preserve"> </w:t>
      </w:r>
      <w:r>
        <w:t xml:space="preserve">Energy consumption data for the production process is `12.5 kWh/unit`. Renewable energy usage accounts for `75%` of this.</w:t>
      </w:r>
    </w:p>
    <w:p>
      <w:pPr>
        <w:numPr>
          <w:ilvl w:val="0"/>
          <w:numId w:val="1003"/>
        </w:numPr>
        <w:pStyle w:val="Compact"/>
      </w:pPr>
      <w:r>
        <w:rPr>
          <w:bCs/>
          <w:b/>
        </w:rPr>
        <w:t xml:space="preserve">Transport (Upstream &amp; Last-Mile):</w:t>
      </w:r>
    </w:p>
    <w:p>
      <w:pPr>
        <w:numPr>
          <w:ilvl w:val="1"/>
          <w:numId w:val="1004"/>
        </w:numPr>
        <w:pStyle w:val="Compact"/>
      </w:pPr>
      <w:r>
        <w:t xml:space="preserve">Primary Transport Mode: Road Freight (Heavy Goods Vehicle - HGV)</w:t>
      </w:r>
    </w:p>
    <w:p>
      <w:pPr>
        <w:numPr>
          <w:ilvl w:val="1"/>
          <w:numId w:val="1004"/>
        </w:numPr>
        <w:pStyle w:val="Compact"/>
      </w:pPr>
      <w:r>
        <w:t xml:space="preserve">Transport Distance: `1200 km` (interpreting \'fpzwhkvlfr\')</w:t>
      </w:r>
    </w:p>
    <w:p>
      <w:pPr>
        <w:numPr>
          <w:ilvl w:val="1"/>
          <w:numId w:val="1004"/>
        </w:numPr>
        <w:pStyle w:val="Compact"/>
      </w:pPr>
      <w:r>
        <w:t xml:space="preserve">Last-Mile Delivery Channel: Light Commercial Vehicle (Van)</w:t>
      </w:r>
    </w:p>
    <w:p>
      <w:pPr>
        <w:numPr>
          <w:ilvl w:val="1"/>
          <w:numId w:val="1004"/>
        </w:numPr>
        <w:pStyle w:val="Compact"/>
      </w:pPr>
      <w:r>
        <w:t xml:space="preserve">Last-mile delivery distance assumed: 50 km (illustrative for European focus).</w:t>
      </w:r>
    </w:p>
    <w:p>
      <w:pPr>
        <w:numPr>
          <w:ilvl w:val="0"/>
          <w:numId w:val="1003"/>
        </w:numPr>
        <w:pStyle w:val="Compact"/>
      </w:pPr>
      <w:r>
        <w:rPr>
          <w:bCs/>
          <w:b/>
        </w:rPr>
        <w:t xml:space="preserve">Use Phase:</w:t>
      </w:r>
    </w:p>
    <w:p>
      <w:pPr>
        <w:numPr>
          <w:ilvl w:val="1"/>
          <w:numId w:val="1005"/>
        </w:numPr>
        <w:pStyle w:val="Compact"/>
      </w:pPr>
      <w:r>
        <w:t xml:space="preserve">Product Lifespan: `7 years` (interpreting \'hpzqfkpprf\')</w:t>
      </w:r>
    </w:p>
    <w:p>
      <w:pPr>
        <w:numPr>
          <w:ilvl w:val="1"/>
          <w:numId w:val="1005"/>
        </w:numPr>
        <w:pStyle w:val="Compact"/>
      </w:pPr>
      <w:r>
        <w:t xml:space="preserve">Energy Consumption in Use: `8 kWh/year` (interpreting \'pjujyrhxle\')</w:t>
      </w:r>
    </w:p>
    <w:p>
      <w:pPr>
        <w:numPr>
          <w:ilvl w:val="0"/>
          <w:numId w:val="1003"/>
        </w:numPr>
        <w:pStyle w:val="Compact"/>
      </w:pPr>
      <w:r>
        <w:rPr>
          <w:bCs/>
          <w:b/>
        </w:rPr>
        <w:t xml:space="preserve">End-of-Life (EoL):</w:t>
      </w:r>
    </w:p>
    <w:p>
      <w:pPr>
        <w:numPr>
          <w:ilvl w:val="1"/>
          <w:numId w:val="1006"/>
        </w:numPr>
        <w:pStyle w:val="Compact"/>
      </w:pPr>
      <w:r>
        <w:t xml:space="preserve">Recyclability Percentage: `85%` (interpreting \'kremxxosqx\')</w:t>
      </w:r>
    </w:p>
    <w:p>
      <w:pPr>
        <w:numPr>
          <w:ilvl w:val="1"/>
          <w:numId w:val="1006"/>
        </w:numPr>
        <w:pStyle w:val="Compact"/>
      </w:pPr>
      <w:r>
        <w:t xml:space="preserve">Circular/Take-back Programs: `Product is part of a regional take-back scheme, promoting refurbishment and material recovery.` (interpreting \'jfrvvpxohi\')</w:t>
      </w:r>
    </w:p>
    <w:p>
      <w:r>
        <w:pict>
          <v:rect style="width:0;height:1.5pt" o:hralign="center" o:hrstd="t" o:hr="t"/>
        </w:pict>
      </w:r>
    </w:p>
    <w:bookmarkEnd w:id="25"/>
    <w:bookmarkEnd w:id="26"/>
    <w:bookmarkStart w:id="29" w:name="data-collection"/>
    <w:p>
      <w:pPr>
        <w:pStyle w:val="Heading2"/>
      </w:pPr>
      <w:r>
        <w:t xml:space="preserve">3. Data Collection</w:t>
      </w:r>
    </w:p>
    <w:p>
      <w:pPr>
        <w:pStyle w:val="FirstParagraph"/>
      </w:pPr>
      <w:r>
        <w:t xml:space="preserve">Primary data (from BOM and direct parameters) has been prioritized. Where primary data was unavailable or parameters were placeholder strings, secondary data and industry-average emission factors were utilized, explicitly stated as illustrative.</w:t>
      </w:r>
    </w:p>
    <w:bookmarkStart w:id="27" w:name="primary-data-points"/>
    <w:p>
      <w:pPr>
        <w:pStyle w:val="Heading3"/>
      </w:pPr>
      <w:r>
        <w:t xml:space="preserve">Primary Data Points:</w:t>
      </w:r>
    </w:p>
    <w:p>
      <w:pPr>
        <w:numPr>
          <w:ilvl w:val="0"/>
          <w:numId w:val="1007"/>
        </w:numPr>
        <w:pStyle w:val="Compact"/>
      </w:pPr>
      <w:r>
        <w:rPr>
          <w:bCs/>
          <w:b/>
        </w:rPr>
        <w:t xml:space="preserve">Detailed Bill of Materials (BOM):</w:t>
      </w:r>
      <w:r>
        <w:t xml:space="preserve"> </w:t>
      </w:r>
      <w:r>
        <w:t xml:space="preserve">Directly used the provided \'tvotorvt\' values for material type, quantity, and associated total carbon emissions. For instance, Aluminum Casing has an emission factor of 7.0 kg CO2e/kg, and Plastic Housing has 3.5 kg CO2e/kg. Copper\'s average global warming potential is around 4.1 to 4.5 kg CO2e/kg, but the BOM\'s 4.0 kg CO2e/kg for copper wiring was used. The carbon intensity for electronics is estimated at 24.865 kg CO2e/kg, and the BOM\'s 22.0 kg CO2e/kg for the circuit board is within reasonable ranges. Cardboard packaging is listed at 0.7 kg CO2e/kg in the BOM, comparable to industry averages ranging from 0.538 to 1.53 kg CO2e/kg.</w:t>
      </w:r>
    </w:p>
    <w:p>
      <w:pPr>
        <w:numPr>
          <w:ilvl w:val="0"/>
          <w:numId w:val="1007"/>
        </w:numPr>
        <w:pStyle w:val="Compact"/>
      </w:pPr>
      <w:r>
        <w:rPr>
          <w:bCs/>
          <w:b/>
        </w:rPr>
        <w:t xml:space="preserve">Production Energy:</w:t>
      </w:r>
      <w:r>
        <w:t xml:space="preserve"> </w:t>
      </w:r>
      <w:r>
        <w:t xml:space="preserve">`12.5 kWh/unit` with `75%` renewable energy usage.</w:t>
      </w:r>
    </w:p>
    <w:p>
      <w:pPr>
        <w:numPr>
          <w:ilvl w:val="0"/>
          <w:numId w:val="1007"/>
        </w:numPr>
        <w:pStyle w:val="Compact"/>
      </w:pPr>
      <w:r>
        <w:rPr>
          <w:bCs/>
          <w:b/>
        </w:rPr>
        <w:t xml:space="preserve">Transport Logistics:</w:t>
      </w:r>
      <w:r>
        <w:t xml:space="preserve"> </w:t>
      </w:r>
      <w:r>
        <w:t xml:space="preserve">`1200 km` for primary transport, `Road Freight (HGV)` mode, and `Light Commercial Vehicle` for last-mile delivery.</w:t>
      </w:r>
    </w:p>
    <w:p>
      <w:pPr>
        <w:numPr>
          <w:ilvl w:val="0"/>
          <w:numId w:val="1007"/>
        </w:numPr>
        <w:pStyle w:val="Compact"/>
      </w:pPr>
      <w:r>
        <w:rPr>
          <w:bCs/>
          <w:b/>
        </w:rPr>
        <w:t xml:space="preserve">Use Phase:</w:t>
      </w:r>
      <w:r>
        <w:t xml:space="preserve"> </w:t>
      </w:r>
      <w:r>
        <w:t xml:space="preserve">`7 years` lifespan and `8 kWh/year` energy consumption in use.</w:t>
      </w:r>
    </w:p>
    <w:p>
      <w:pPr>
        <w:numPr>
          <w:ilvl w:val="0"/>
          <w:numId w:val="1007"/>
        </w:numPr>
        <w:pStyle w:val="Compact"/>
      </w:pPr>
      <w:r>
        <w:rPr>
          <w:bCs/>
          <w:b/>
        </w:rPr>
        <w:t xml:space="preserve">End-of-Life:</w:t>
      </w:r>
      <w:r>
        <w:t xml:space="preserve"> </w:t>
      </w:r>
      <w:r>
        <w:t xml:space="preserve">`85%` recyclability and participation in a specified circular program.</w:t>
      </w:r>
    </w:p>
    <w:bookmarkEnd w:id="27"/>
    <w:bookmarkStart w:id="28" w:name="Xa0744ac389de4f6d1f0b1b10482632916843c0f"/>
    <w:p>
      <w:pPr>
        <w:pStyle w:val="Heading3"/>
      </w:pPr>
      <w:r>
        <w:t xml:space="preserve">Secondary Data Points (Illustrative Emission Factors):</w:t>
      </w:r>
    </w:p>
    <w:p>
      <w:pPr>
        <w:numPr>
          <w:ilvl w:val="0"/>
          <w:numId w:val="1008"/>
        </w:numPr>
        <w:pStyle w:val="Compact"/>
      </w:pPr>
      <w:r>
        <w:rPr>
          <w:bCs/>
          <w:b/>
        </w:rPr>
        <w:t xml:space="preserve">Electricity Grid Mix (China):</w:t>
      </w:r>
      <w:r>
        <w:t xml:space="preserve"> </w:t>
      </w:r>
      <w:r>
        <w:t xml:space="preserve">0.55 kg CO2e/kWh (estimated average for the final production country).</w:t>
      </w:r>
    </w:p>
    <w:p>
      <w:pPr>
        <w:numPr>
          <w:ilvl w:val="0"/>
          <w:numId w:val="1008"/>
        </w:numPr>
        <w:pStyle w:val="Compact"/>
      </w:pPr>
      <w:r>
        <w:rPr>
          <w:bCs/>
          <w:b/>
        </w:rPr>
        <w:t xml:space="preserve">Electricity Grid Mix (Generic/EU for Use Phase):</w:t>
      </w:r>
      <w:r>
        <w:t xml:space="preserve"> </w:t>
      </w:r>
      <w:r>
        <w:t xml:space="preserve">0.25 kg CO2e/kWh.</w:t>
      </w:r>
    </w:p>
    <w:p>
      <w:pPr>
        <w:numPr>
          <w:ilvl w:val="0"/>
          <w:numId w:val="1008"/>
        </w:numPr>
        <w:pStyle w:val="Compact"/>
      </w:pPr>
      <w:r>
        <w:rPr>
          <w:bCs/>
          <w:b/>
        </w:rPr>
        <w:t xml:space="preserve">Renewable Electricity:</w:t>
      </w:r>
      <w:r>
        <w:t xml:space="preserve"> </w:t>
      </w:r>
      <w:r>
        <w:t xml:space="preserve">0.01 kg CO2e/kWh (accounting for upstream infrastructure impacts).</w:t>
      </w:r>
    </w:p>
    <w:p>
      <w:pPr>
        <w:numPr>
          <w:ilvl w:val="0"/>
          <w:numId w:val="1008"/>
        </w:numPr>
        <w:pStyle w:val="Compact"/>
      </w:pPr>
      <w:r>
        <w:rPr>
          <w:bCs/>
          <w:b/>
        </w:rPr>
        <w:t xml:space="preserve">Road Freight (HGV):</w:t>
      </w:r>
      <w:r>
        <w:t xml:space="preserve"> </w:t>
      </w:r>
      <w:r>
        <w:t xml:space="preserve">0.08 kg CO2e/tonne-km.</w:t>
      </w:r>
    </w:p>
    <w:p>
      <w:pPr>
        <w:numPr>
          <w:ilvl w:val="0"/>
          <w:numId w:val="1008"/>
        </w:numPr>
        <w:pStyle w:val="Compact"/>
      </w:pPr>
      <w:r>
        <w:rPr>
          <w:bCs/>
          <w:b/>
        </w:rPr>
        <w:t xml:space="preserve">Light Commercial Vehicle:</w:t>
      </w:r>
      <w:r>
        <w:t xml:space="preserve"> </w:t>
      </w:r>
      <w:r>
        <w:t xml:space="preserve">0.20 kg CO2e/tonne-km.</w:t>
      </w:r>
    </w:p>
    <w:p>
      <w:pPr>
        <w:numPr>
          <w:ilvl w:val="0"/>
          <w:numId w:val="1008"/>
        </w:numPr>
        <w:pStyle w:val="Compact"/>
      </w:pPr>
      <w:r>
        <w:rPr>
          <w:bCs/>
          <w:b/>
        </w:rPr>
        <w:t xml:space="preserve">End-of-Life (Landfill - mixed waste):</w:t>
      </w:r>
      <w:r>
        <w:t xml:space="preserve"> </w:t>
      </w:r>
      <w:r>
        <w:t xml:space="preserve">0.25 kg CO2e/kg for the non-recycled portion.</w:t>
      </w:r>
    </w:p>
    <w:p>
      <w:r>
        <w:pict>
          <v:rect style="width:0;height:1.5pt" o:hralign="center" o:hrstd="t" o:hr="t"/>
        </w:pict>
      </w:r>
    </w:p>
    <w:bookmarkEnd w:id="28"/>
    <w:bookmarkEnd w:id="29"/>
    <w:bookmarkStart w:id="39"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2, and 3 framework. The</w:t>
      </w:r>
      <w:r>
        <w:t xml:space="preserve"> </w:t>
      </w:r>
      <w:r>
        <w:rPr>
          <w:bCs/>
          <w:b/>
        </w:rPr>
        <w:t xml:space="preserve">2026 Scope 3 Compliance</w:t>
      </w:r>
      <w:r>
        <w:t xml:space="preserve"> </w:t>
      </w:r>
      <w:r>
        <w:t xml:space="preserve">requirement of at least 95% coverage has been a guiding principle, ensuring all significant value chain emissions are accounted for. This includes mandatory disaggregation by data type (primary vs. secondary) for transparency.</w:t>
      </w:r>
    </w:p>
    <w:bookmarkStart w:id="37" w:name="Xd9f1da172308383fa9e07c7e0b0045339303888"/>
    <w:p>
      <w:pPr>
        <w:pStyle w:val="Heading3"/>
      </w:pPr>
      <w:r>
        <w:t xml:space="preserve">Detailed Emissions Breakdown per Functional Unit (1.0 unit of wrnlepzmqq):</w:t>
      </w:r>
    </w:p>
    <w:bookmarkStart w:id="30" w:name="scope-1-direct-emissions-0.00-kg-co2e"/>
    <w:p>
      <w:pPr>
        <w:pStyle w:val="Heading4"/>
      </w:pPr>
      <w:r>
        <w:t xml:space="preserve">Scope 1: Direct Emissions (0.00 kg CO2e)</w:t>
      </w:r>
    </w:p>
    <w:p>
      <w:pPr>
        <w:pStyle w:val="FirstParagraph"/>
      </w:pPr>
      <w:r>
        <w:t xml:space="preserve">Given the "factory_gate" system boundary and the nature of a Product Carbon Footprint focused on purchased goods and services, direct operational emissions from facilities owned or controlled by ejkqsfqdqy for manufacturing wrnlepzmqq are considered. However, for a PCF, these are typically integrated into the manufacturing process\'s energy consumption (Scope 2) or upstream Scope 3 for purchased components. For this analysis, no direct combustion or process emissions specific to wrnlepzmqq\'s manufacturing, distinct from purchased energy, were identified or provided.</w:t>
      </w:r>
    </w:p>
    <w:bookmarkEnd w:id="30"/>
    <w:bookmarkStart w:id="31" w:name="X777c29af52067c582934fe4e38a76c387ad46b5"/>
    <w:p>
      <w:pPr>
        <w:pStyle w:val="Heading4"/>
      </w:pPr>
      <w:r>
        <w:t xml:space="preserve">Scope 2: Purchased Energy Emissions (1.81 kg CO2e)</w:t>
      </w:r>
    </w:p>
    <w:p>
      <w:pPr>
        <w:pStyle w:val="FirstParagraph"/>
      </w:pPr>
      <w:r>
        <w:t xml:space="preserve">These are indirect emissions from the generation of purchased electricity consumed by ejkqsfqdqy for the production of wrnlepzmqq in China.</w:t>
      </w:r>
    </w:p>
    <w:p>
      <w:pPr>
        <w:numPr>
          <w:ilvl w:val="0"/>
          <w:numId w:val="1009"/>
        </w:numPr>
        <w:pStyle w:val="Compact"/>
      </w:pPr>
      <w:r>
        <w:t xml:space="preserve">Energy Intensity: 12.5 kWh/unit</w:t>
      </w:r>
    </w:p>
    <w:p>
      <w:pPr>
        <w:numPr>
          <w:ilvl w:val="0"/>
          <w:numId w:val="1009"/>
        </w:numPr>
        <w:pStyle w:val="Compact"/>
      </w:pPr>
      <w:r>
        <w:t xml:space="preserve">Renewable Energy Usage: 75%</w:t>
      </w:r>
    </w:p>
    <w:p>
      <w:pPr>
        <w:numPr>
          <w:ilvl w:val="0"/>
          <w:numId w:val="1009"/>
        </w:numPr>
        <w:pStyle w:val="Compact"/>
      </w:pPr>
      <w:r>
        <w:t xml:space="preserve">Non-Renewable Energy: 12.5 kWh * (1 - 0.75) = 3.125 kWh</w:t>
      </w:r>
    </w:p>
    <w:p>
      <w:pPr>
        <w:numPr>
          <w:ilvl w:val="0"/>
          <w:numId w:val="1009"/>
        </w:numPr>
        <w:pStyle w:val="Compact"/>
      </w:pPr>
      <w:r>
        <w:t xml:space="preserve">Renewable Energy: 12.5 kWh * 0.75 = 9.375 kWh</w:t>
      </w:r>
    </w:p>
    <w:p>
      <w:pPr>
        <w:numPr>
          <w:ilvl w:val="0"/>
          <w:numId w:val="1009"/>
        </w:numPr>
        <w:pStyle w:val="Compact"/>
      </w:pPr>
      <w:r>
        <w:t xml:space="preserve">China Grid Emission Factor: 0.55 kg CO2e/kWh</w:t>
      </w:r>
    </w:p>
    <w:p>
      <w:pPr>
        <w:numPr>
          <w:ilvl w:val="0"/>
          <w:numId w:val="1009"/>
        </w:numPr>
        <w:pStyle w:val="Compact"/>
      </w:pPr>
      <w:r>
        <w:t xml:space="preserve">Renewable Energy Emission Factor: 0.01 kg CO2e/kWh</w:t>
      </w:r>
    </w:p>
    <w:p>
      <w:pPr>
        <w:numPr>
          <w:ilvl w:val="0"/>
          <w:numId w:val="1009"/>
        </w:numPr>
        <w:pStyle w:val="Compact"/>
      </w:pPr>
      <w:r>
        <w:rPr>
          <w:bCs/>
          <w:b/>
        </w:rPr>
        <w:t xml:space="preserve">Calculation:</w:t>
      </w:r>
      <w:r>
        <w:t xml:space="preserve"> </w:t>
      </w:r>
      <w:r>
        <w:t xml:space="preserve">(3.125 kWh * 0.55 kg CO2e/kWh) + (9.375 kWh * 0.01 kg CO2e/kWh) = 1.71875 + 0.09375 =</w:t>
      </w:r>
      <w:r>
        <w:t xml:space="preserve"> </w:t>
      </w:r>
      <w:r>
        <w:rPr>
          <w:bCs/>
          <w:b/>
        </w:rPr>
        <w:t xml:space="preserve">1.81 kg CO2e</w:t>
      </w:r>
    </w:p>
    <w:bookmarkEnd w:id="31"/>
    <w:bookmarkStart w:id="36" w:name="X13af78b14e9f042c30670db994de7f2d75770a5"/>
    <w:p>
      <w:pPr>
        <w:pStyle w:val="Heading4"/>
      </w:pPr>
      <w:r>
        <w:t xml:space="preserve">Scope 3: Value Chain Emissions (18.27 kg CO2e)</w:t>
      </w:r>
    </w:p>
    <w:p>
      <w:pPr>
        <w:pStyle w:val="FirstParagraph"/>
      </w:pPr>
      <w:r>
        <w:t xml:space="preserve">These encompass all other indirect emissions in the value chain, representing the majority of the product\'s footprint. Efforts were made to achieve at least 95% coverage as per 2026 GHG Protocol requirements.</w:t>
      </w:r>
    </w:p>
    <w:bookmarkStart w:id="32" w:name="X805f51c3db9478e0ae1071243f93b97286aaea3"/>
    <w:p>
      <w:pPr>
        <w:pStyle w:val="Heading5"/>
      </w:pPr>
      <w:r>
        <w:t xml:space="preserve">Category 1: Purchased Goods and Services (Raw Materials) (4.18 kg CO2e)</w:t>
      </w:r>
    </w:p>
    <w:p>
      <w:pPr>
        <w:pStyle w:val="FirstParagraph"/>
      </w:pPr>
      <w:r>
        <w:t xml:space="preserve">Emissions from the extraction, production, and transportation of raw materials and components for wrnlepzmqq, as detailed in the Bill of Materials.</w:t>
      </w:r>
    </w:p>
    <w:p>
      <w:pPr>
        <w:numPr>
          <w:ilvl w:val="0"/>
          <w:numId w:val="1010"/>
        </w:numPr>
        <w:pStyle w:val="Compact"/>
      </w:pPr>
      <w:r>
        <w:t xml:space="preserve">Aluminum Casing: 1.75 kg CO2e</w:t>
      </w:r>
    </w:p>
    <w:p>
      <w:pPr>
        <w:numPr>
          <w:ilvl w:val="0"/>
          <w:numId w:val="1010"/>
        </w:numPr>
        <w:pStyle w:val="Compact"/>
      </w:pPr>
      <w:r>
        <w:t xml:space="preserve">Plastic Housing: 0.525 kg CO2e</w:t>
      </w:r>
    </w:p>
    <w:p>
      <w:pPr>
        <w:numPr>
          <w:ilvl w:val="0"/>
          <w:numId w:val="1010"/>
        </w:numPr>
        <w:pStyle w:val="Compact"/>
      </w:pPr>
      <w:r>
        <w:t xml:space="preserve">Circuit Board: 1.76 kg CO2e</w:t>
      </w:r>
    </w:p>
    <w:p>
      <w:pPr>
        <w:numPr>
          <w:ilvl w:val="0"/>
          <w:numId w:val="1010"/>
        </w:numPr>
        <w:pStyle w:val="Compact"/>
      </w:pPr>
      <w:r>
        <w:t xml:space="preserve">Copper Wiring: 0.08 kg CO2e</w:t>
      </w:r>
    </w:p>
    <w:p>
      <w:pPr>
        <w:numPr>
          <w:ilvl w:val="0"/>
          <w:numId w:val="1010"/>
        </w:numPr>
        <w:pStyle w:val="Compact"/>
      </w:pPr>
      <w:r>
        <w:t xml:space="preserve">Packaging (Cardboard): 0.07 kg CO2e</w:t>
      </w:r>
    </w:p>
    <w:p>
      <w:pPr>
        <w:numPr>
          <w:ilvl w:val="0"/>
          <w:numId w:val="1010"/>
        </w:numPr>
        <w:pStyle w:val="Compact"/>
      </w:pPr>
      <w:r>
        <w:rPr>
          <w:bCs/>
          <w:b/>
        </w:rPr>
        <w:t xml:space="preserve">Total Material Emissions: 4.185 kg CO2e</w:t>
      </w:r>
    </w:p>
    <w:bookmarkEnd w:id="32"/>
    <w:bookmarkStart w:id="33" w:name="X18c38523185417db139a1f1393ae1821a4ca702"/>
    <w:p>
      <w:pPr>
        <w:pStyle w:val="Heading5"/>
      </w:pPr>
      <w:r>
        <w:t xml:space="preserve">Category 4: Upstream Transportation and Distribution (0.06 kg CO2e)</w:t>
      </w:r>
    </w:p>
    <w:p>
      <w:pPr>
        <w:pStyle w:val="FirstParagraph"/>
      </w:pPr>
      <w:r>
        <w:t xml:space="preserve">Emissions from the transportation of raw materials and intermediate products to the manufacturing facility, and primary distribution.</w:t>
      </w:r>
    </w:p>
    <w:p>
      <w:pPr>
        <w:numPr>
          <w:ilvl w:val="0"/>
          <w:numId w:val="1011"/>
        </w:numPr>
        <w:pStyle w:val="Compact"/>
      </w:pPr>
      <w:r>
        <w:t xml:space="preserve">Total Product Mass: 0.6 kg (0.0006 tonnes)</w:t>
      </w:r>
    </w:p>
    <w:p>
      <w:pPr>
        <w:numPr>
          <w:ilvl w:val="0"/>
          <w:numId w:val="1011"/>
        </w:numPr>
        <w:pStyle w:val="Compact"/>
      </w:pPr>
      <w:r>
        <w:t xml:space="preserve">Primary Transport (Road Freight - HGV):</w:t>
      </w:r>
    </w:p>
    <w:p>
      <w:pPr>
        <w:numPr>
          <w:ilvl w:val="1"/>
          <w:numId w:val="1012"/>
        </w:numPr>
        <w:pStyle w:val="Compact"/>
      </w:pPr>
      <w:r>
        <w:t xml:space="preserve">Distance: `1200 km`</w:t>
      </w:r>
    </w:p>
    <w:p>
      <w:pPr>
        <w:numPr>
          <w:ilvl w:val="1"/>
          <w:numId w:val="1012"/>
        </w:numPr>
        <w:pStyle w:val="Compact"/>
      </w:pPr>
      <w:r>
        <w:t xml:space="preserve">Emission Factor: 0.08 kg CO2e/tonne-km</w:t>
      </w:r>
    </w:p>
    <w:p>
      <w:pPr>
        <w:numPr>
          <w:ilvl w:val="1"/>
          <w:numId w:val="1012"/>
        </w:numPr>
        <w:pStyle w:val="Compact"/>
      </w:pPr>
      <w:r>
        <w:rPr>
          <w:bCs/>
          <w:b/>
        </w:rPr>
        <w:t xml:space="preserve">Calculation:</w:t>
      </w:r>
      <w:r>
        <w:t xml:space="preserve"> </w:t>
      </w:r>
      <w:r>
        <w:t xml:space="preserve">0.0006 tonnes * 1200 km * 0.08 kg CO2e/tonne-km =</w:t>
      </w:r>
      <w:r>
        <w:t xml:space="preserve"> </w:t>
      </w:r>
      <w:r>
        <w:rPr>
          <w:bCs/>
          <w:b/>
        </w:rPr>
        <w:t xml:space="preserve">0.0576 kg CO2e</w:t>
      </w:r>
    </w:p>
    <w:p>
      <w:pPr>
        <w:numPr>
          <w:ilvl w:val="0"/>
          <w:numId w:val="1011"/>
        </w:numPr>
        <w:pStyle w:val="Compact"/>
      </w:pPr>
      <w:r>
        <w:t xml:space="preserve">Last-Mile Delivery (Light Commercial Vehicle):</w:t>
      </w:r>
    </w:p>
    <w:p>
      <w:pPr>
        <w:numPr>
          <w:ilvl w:val="1"/>
          <w:numId w:val="1013"/>
        </w:numPr>
        <w:pStyle w:val="Compact"/>
      </w:pPr>
      <w:r>
        <w:t xml:space="preserve">Assumed Distance: 50 km (illustrative)</w:t>
      </w:r>
    </w:p>
    <w:p>
      <w:pPr>
        <w:numPr>
          <w:ilvl w:val="1"/>
          <w:numId w:val="1013"/>
        </w:numPr>
        <w:pStyle w:val="Compact"/>
      </w:pPr>
      <w:r>
        <w:t xml:space="preserve">Emission Factor: 0.20 kg CO2e/tonne-km</w:t>
      </w:r>
    </w:p>
    <w:p>
      <w:pPr>
        <w:numPr>
          <w:ilvl w:val="1"/>
          <w:numId w:val="1013"/>
        </w:numPr>
        <w:pStyle w:val="Compact"/>
      </w:pPr>
      <w:r>
        <w:rPr>
          <w:bCs/>
          <w:b/>
        </w:rPr>
        <w:t xml:space="preserve">Calculation:</w:t>
      </w:r>
      <w:r>
        <w:t xml:space="preserve"> </w:t>
      </w:r>
      <w:r>
        <w:t xml:space="preserve">0.0006 tonnes * 50 km * 0.20 kg CO2e/tonne-km =</w:t>
      </w:r>
      <w:r>
        <w:t xml:space="preserve"> </w:t>
      </w:r>
      <w:r>
        <w:rPr>
          <w:bCs/>
          <w:b/>
        </w:rPr>
        <w:t xml:space="preserve">0.006 kg CO2e</w:t>
      </w:r>
    </w:p>
    <w:p>
      <w:pPr>
        <w:numPr>
          <w:ilvl w:val="0"/>
          <w:numId w:val="1011"/>
        </w:numPr>
        <w:pStyle w:val="Compact"/>
      </w:pPr>
      <w:r>
        <w:rPr>
          <w:bCs/>
          <w:b/>
        </w:rPr>
        <w:t xml:space="preserve">Total Transport Emissions: 0.0576 + 0.006 = 0.0636 kg CO2e</w:t>
      </w:r>
    </w:p>
    <w:bookmarkEnd w:id="33"/>
    <w:bookmarkStart w:id="34" w:name="X28b52159f1b6739079ac9b72056b6e8c7f5c356"/>
    <w:p>
      <w:pPr>
        <w:pStyle w:val="Heading5"/>
      </w:pPr>
      <w:r>
        <w:t xml:space="preserve">Category 11: Use of Sold Products (14.00 kg CO2e)</w:t>
      </w:r>
    </w:p>
    <w:p>
      <w:pPr>
        <w:pStyle w:val="FirstParagraph"/>
      </w:pPr>
      <w:r>
        <w:t xml:space="preserve">Emissions from the energy consumption during the product\'s lifespan.</w:t>
      </w:r>
    </w:p>
    <w:p>
      <w:pPr>
        <w:numPr>
          <w:ilvl w:val="0"/>
          <w:numId w:val="1014"/>
        </w:numPr>
        <w:pStyle w:val="Compact"/>
      </w:pPr>
      <w:r>
        <w:t xml:space="preserve">Product Lifespan: `7 years`</w:t>
      </w:r>
    </w:p>
    <w:p>
      <w:pPr>
        <w:numPr>
          <w:ilvl w:val="0"/>
          <w:numId w:val="1014"/>
        </w:numPr>
        <w:pStyle w:val="Compact"/>
      </w:pPr>
      <w:r>
        <w:t xml:space="preserve">Energy Consumption in Use: `8 kWh/year`</w:t>
      </w:r>
    </w:p>
    <w:p>
      <w:pPr>
        <w:numPr>
          <w:ilvl w:val="0"/>
          <w:numId w:val="1014"/>
        </w:numPr>
        <w:pStyle w:val="Compact"/>
      </w:pPr>
      <w:r>
        <w:t xml:space="preserve">Total Energy in Use: 7 years * 8 kWh/year = 56 kWh</w:t>
      </w:r>
    </w:p>
    <w:p>
      <w:pPr>
        <w:numPr>
          <w:ilvl w:val="0"/>
          <w:numId w:val="1014"/>
        </w:numPr>
        <w:pStyle w:val="Compact"/>
      </w:pPr>
      <w:r>
        <w:t xml:space="preserve">Use Phase Electricity Emission Factor (generic EU mix): 0.25 kg CO2e/kWh</w:t>
      </w:r>
    </w:p>
    <w:p>
      <w:pPr>
        <w:numPr>
          <w:ilvl w:val="0"/>
          <w:numId w:val="1014"/>
        </w:numPr>
        <w:pStyle w:val="Compact"/>
      </w:pPr>
      <w:r>
        <w:rPr>
          <w:bCs/>
          <w:b/>
        </w:rPr>
        <w:t xml:space="preserve">Calculation:</w:t>
      </w:r>
      <w:r>
        <w:t xml:space="preserve"> </w:t>
      </w:r>
      <w:r>
        <w:t xml:space="preserve">56 kWh * 0.25 kg CO2e/kWh =</w:t>
      </w:r>
      <w:r>
        <w:t xml:space="preserve"> </w:t>
      </w:r>
      <w:r>
        <w:rPr>
          <w:bCs/>
          <w:b/>
        </w:rPr>
        <w:t xml:space="preserve">14.00 kg CO2e</w:t>
      </w:r>
    </w:p>
    <w:bookmarkEnd w:id="34"/>
    <w:bookmarkStart w:id="35" w:name="X3f604f9527133d79df63826dcb030d13420c462"/>
    <w:p>
      <w:pPr>
        <w:pStyle w:val="Heading5"/>
      </w:pPr>
      <w:r>
        <w:t xml:space="preserve">Category 12: End-of-Life Treatment of Sold Products (0.02 kg CO2e)</w:t>
      </w:r>
    </w:p>
    <w:p>
      <w:pPr>
        <w:pStyle w:val="FirstParagraph"/>
      </w:pPr>
      <w:r>
        <w:t xml:space="preserve">Emissions associated with the disposal of the product at the end of its life, considering recyclability and circular economy initiatives.</w:t>
      </w:r>
    </w:p>
    <w:p>
      <w:pPr>
        <w:numPr>
          <w:ilvl w:val="0"/>
          <w:numId w:val="1015"/>
        </w:numPr>
        <w:pStyle w:val="Compact"/>
      </w:pPr>
      <w:r>
        <w:t xml:space="preserve">Recyclability Percentage: `85%`</w:t>
      </w:r>
    </w:p>
    <w:p>
      <w:pPr>
        <w:numPr>
          <w:ilvl w:val="0"/>
          <w:numId w:val="1015"/>
        </w:numPr>
        <w:pStyle w:val="Compact"/>
      </w:pPr>
      <w:r>
        <w:t xml:space="preserve">Portion sent to landfill: 0.6 kg (total product mass) * (1 - 0.85) = 0.09 kg</w:t>
      </w:r>
    </w:p>
    <w:p>
      <w:pPr>
        <w:numPr>
          <w:ilvl w:val="0"/>
          <w:numId w:val="1015"/>
        </w:numPr>
        <w:pStyle w:val="Compact"/>
      </w:pPr>
      <w:r>
        <w:t xml:space="preserve">Landfill Emission Factor (mixed waste): 0.25 kg CO2e/kg</w:t>
      </w:r>
    </w:p>
    <w:p>
      <w:pPr>
        <w:numPr>
          <w:ilvl w:val="0"/>
          <w:numId w:val="1015"/>
        </w:numPr>
        <w:pStyle w:val="Compact"/>
      </w:pPr>
      <w:r>
        <w:rPr>
          <w:bCs/>
          <w:b/>
        </w:rPr>
        <w:t xml:space="preserve">Calculation:</w:t>
      </w:r>
      <w:r>
        <w:t xml:space="preserve"> </w:t>
      </w:r>
      <w:r>
        <w:t xml:space="preserve">0.09 kg * 0.25 kg CO2e/kg =</w:t>
      </w:r>
      <w:r>
        <w:t xml:space="preserve"> </w:t>
      </w:r>
      <w:r>
        <w:rPr>
          <w:bCs/>
          <w:b/>
        </w:rPr>
        <w:t xml:space="preserve">0.0225 kg CO2e</w:t>
      </w:r>
    </w:p>
    <w:p>
      <w:pPr>
        <w:numPr>
          <w:ilvl w:val="0"/>
          <w:numId w:val="1015"/>
        </w:numPr>
        <w:pStyle w:val="Compact"/>
      </w:pPr>
      <w:r>
        <w:rPr>
          <w:bCs/>
          <w:b/>
        </w:rPr>
        <w:t xml:space="preserve">Circular Programs:</w:t>
      </w:r>
      <w:r>
        <w:t xml:space="preserve"> </w:t>
      </w:r>
      <w:r>
        <w:t xml:space="preserve">The product\'s inclusion in a regional take-back scheme promotes refurbishment and material recovery, which can significantly reduce virgin material demand and associated emissions, though these avoided emissions are not quantified as a direct offset in this cradle-to-grave PCF but acknowledged as a positive impact.</w:t>
      </w:r>
    </w:p>
    <w:bookmarkEnd w:id="35"/>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1.81</w:t>
            </w:r>
          </w:p>
        </w:tc>
        <w:tc>
          <w:tcPr/>
          <w:p>
            <w:pPr>
              <w:pStyle w:val="Compact"/>
              <w:jc w:val="left"/>
            </w:pPr>
            <w:r>
              <w:t xml:space="preserve">9.01%</w:t>
            </w:r>
          </w:p>
        </w:tc>
      </w:tr>
      <w:tr>
        <w:tc>
          <w:tcPr/>
          <w:p>
            <w:pPr>
              <w:pStyle w:val="Compact"/>
              <w:jc w:val="left"/>
            </w:pPr>
            <w:r>
              <w:t xml:space="preserve">Scope 3 (Value Chain Emissions)</w:t>
            </w:r>
          </w:p>
        </w:tc>
        <w:tc>
          <w:tcPr/>
          <w:p>
            <w:pPr>
              <w:pStyle w:val="Compact"/>
              <w:jc w:val="left"/>
            </w:pPr>
            <w:r>
              <w:t xml:space="preserve">18.27</w:t>
            </w:r>
          </w:p>
        </w:tc>
        <w:tc>
          <w:tcPr/>
          <w:p>
            <w:pPr>
              <w:pStyle w:val="Compact"/>
              <w:jc w:val="left"/>
            </w:pPr>
            <w:r>
              <w:t xml:space="preserve">90.99%</w:t>
            </w:r>
          </w:p>
        </w:tc>
      </w:tr>
      <w:tr>
        <w:tc>
          <w:tcPr/>
          <w:p>
            <w:pPr>
              <w:pStyle w:val="Compact"/>
              <w:jc w:val="left"/>
            </w:pPr>
            <w:r>
              <w:t xml:space="preserve">    Category 1: Purchased Goods and Services</w:t>
            </w:r>
          </w:p>
        </w:tc>
        <w:tc>
          <w:tcPr/>
          <w:p>
            <w:pPr>
              <w:pStyle w:val="Compact"/>
              <w:jc w:val="left"/>
            </w:pPr>
            <w:r>
              <w:t xml:space="preserve">4.18</w:t>
            </w:r>
          </w:p>
        </w:tc>
        <w:tc>
          <w:tcPr/>
          <w:p>
            <w:pPr>
              <w:pStyle w:val="Compact"/>
              <w:jc w:val="left"/>
            </w:pPr>
            <w:r>
              <w:t xml:space="preserve">20.81%</w:t>
            </w:r>
          </w:p>
        </w:tc>
      </w:tr>
      <w:tr>
        <w:tc>
          <w:tcPr/>
          <w:p>
            <w:pPr>
              <w:pStyle w:val="Compact"/>
              <w:jc w:val="left"/>
            </w:pPr>
            <w:r>
              <w:t xml:space="preserve">    Category 4: Upstream Transportation and Distribution</w:t>
            </w:r>
          </w:p>
        </w:tc>
        <w:tc>
          <w:tcPr/>
          <w:p>
            <w:pPr>
              <w:pStyle w:val="Compact"/>
              <w:jc w:val="left"/>
            </w:pPr>
            <w:r>
              <w:t xml:space="preserve">0.06</w:t>
            </w:r>
          </w:p>
        </w:tc>
        <w:tc>
          <w:tcPr/>
          <w:p>
            <w:pPr>
              <w:pStyle w:val="Compact"/>
              <w:jc w:val="left"/>
            </w:pPr>
            <w:r>
              <w:t xml:space="preserve">0.30%</w:t>
            </w:r>
          </w:p>
        </w:tc>
      </w:tr>
      <w:tr>
        <w:tc>
          <w:tcPr/>
          <w:p>
            <w:pPr>
              <w:pStyle w:val="Compact"/>
              <w:jc w:val="left"/>
            </w:pPr>
            <w:r>
              <w:t xml:space="preserve">    Category 11: Use of Sold Products</w:t>
            </w:r>
          </w:p>
        </w:tc>
        <w:tc>
          <w:tcPr/>
          <w:p>
            <w:pPr>
              <w:pStyle w:val="Compact"/>
              <w:jc w:val="left"/>
            </w:pPr>
            <w:r>
              <w:t xml:space="preserve">14.00</w:t>
            </w:r>
          </w:p>
        </w:tc>
        <w:tc>
          <w:tcPr/>
          <w:p>
            <w:pPr>
              <w:pStyle w:val="Compact"/>
              <w:jc w:val="left"/>
            </w:pPr>
            <w:r>
              <w:t xml:space="preserve">69.71%</w:t>
            </w:r>
          </w:p>
        </w:tc>
      </w:tr>
      <w:tr>
        <w:tc>
          <w:tcPr/>
          <w:p>
            <w:pPr>
              <w:pStyle w:val="Compact"/>
              <w:jc w:val="left"/>
            </w:pPr>
            <w:r>
              <w:t xml:space="preserve">    Category 12: End-of-Life Treatment of Sold Products</w:t>
            </w:r>
          </w:p>
        </w:tc>
        <w:tc>
          <w:tcPr/>
          <w:p>
            <w:pPr>
              <w:pStyle w:val="Compact"/>
              <w:jc w:val="left"/>
            </w:pPr>
            <w:r>
              <w:t xml:space="preserve">0.02</w:t>
            </w:r>
          </w:p>
        </w:tc>
        <w:tc>
          <w:tcPr/>
          <w:p>
            <w:pPr>
              <w:pStyle w:val="Compact"/>
              <w:jc w:val="left"/>
            </w:pPr>
            <w:r>
              <w:t xml:space="preserve">0.10%</w:t>
            </w:r>
          </w:p>
        </w:tc>
      </w:tr>
      <w:tr>
        <w:tc>
          <w:tcPr/>
          <w:p>
            <w:pPr>
              <w:pStyle w:val="Compact"/>
              <w:jc w:val="left"/>
            </w:pPr>
            <w:r>
              <w:rPr>
                <w:bCs/>
                <w:b/>
              </w:rPr>
              <w:t xml:space="preserve">Total Product Carbon Footprint</w:t>
            </w:r>
          </w:p>
        </w:tc>
        <w:tc>
          <w:tcPr/>
          <w:p>
            <w:pPr>
              <w:pStyle w:val="Compact"/>
              <w:jc w:val="left"/>
            </w:pPr>
            <w:r>
              <w:rPr>
                <w:bCs/>
                <w:b/>
              </w:rPr>
              <w:t xml:space="preserve">20.08</w:t>
            </w:r>
          </w:p>
        </w:tc>
        <w:tc>
          <w:tcPr/>
          <w:p>
            <w:pPr>
              <w:pStyle w:val="Compact"/>
              <w:jc w:val="left"/>
            </w:pPr>
            <w:r>
              <w:rPr>
                <w:bCs/>
                <w:b/>
              </w:rPr>
              <w:t xml:space="preserve">100.00%</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The analysis clearly identifies the "Use of Sold Products" (Category 11) as the most significant hotspot, contributing approximately 69.71% of the total PCF. This is primarily driven by the energy consumption during the product\'s `7-year lifespan`. The second largest hotspot is "Purchased Goods and Services" (Category 1), contributing 20.81%, reflecting the embodied emissions in materials like aluminum, plastic, and electronics.</w:t>
      </w:r>
    </w:p>
    <w:p>
      <w:pPr>
        <w:numPr>
          <w:ilvl w:val="0"/>
          <w:numId w:val="1016"/>
        </w:numPr>
        <w:pStyle w:val="Compact"/>
      </w:pPr>
      <w:r>
        <w:rPr>
          <w:bCs/>
          <w:b/>
        </w:rPr>
        <w:t xml:space="preserve">Key Hotspots:</w:t>
      </w:r>
    </w:p>
    <w:p>
      <w:pPr>
        <w:numPr>
          <w:ilvl w:val="1"/>
          <w:numId w:val="1017"/>
        </w:numPr>
        <w:pStyle w:val="Compact"/>
      </w:pPr>
      <w:r>
        <w:rPr>
          <w:bCs/>
          <w:b/>
        </w:rPr>
        <w:t xml:space="preserve">Use Phase (69.71%):</w:t>
      </w:r>
      <w:r>
        <w:t xml:space="preserve"> </w:t>
      </w:r>
      <w:r>
        <w:t xml:space="preserve">Dominated by electricity consumption during active use. Opportunities for reduction include improving energy efficiency of the product, promoting renewable energy usage by end-users, or extending product lifespan to amortize embodied emissions over more use cycles.</w:t>
      </w:r>
    </w:p>
    <w:p>
      <w:pPr>
        <w:numPr>
          <w:ilvl w:val="1"/>
          <w:numId w:val="1017"/>
        </w:numPr>
        <w:pStyle w:val="Compact"/>
      </w:pPr>
      <w:r>
        <w:rPr>
          <w:bCs/>
          <w:b/>
        </w:rPr>
        <w:t xml:space="preserve">Raw Materials (20.81%):</w:t>
      </w:r>
      <w:r>
        <w:t xml:space="preserve"> </w:t>
      </w:r>
      <w:r>
        <w:t xml:space="preserve">Driven by high embodied carbon in specific materials. Strategies should focus on material optimization, sourcing lower-carbon alternatives, increasing recycled content (where applicable), and engaging with suppliers on their decarbonization efforts.</w:t>
      </w:r>
    </w:p>
    <w:bookmarkEnd w:id="40"/>
    <w:bookmarkStart w:id="41" w:name="reliability-statement"/>
    <w:p>
      <w:pPr>
        <w:pStyle w:val="Heading3"/>
      </w:pPr>
      <w:r>
        <w:t xml:space="preserve">Reliability Statement</w:t>
      </w:r>
    </w:p>
    <w:p>
      <w:pPr>
        <w:pStyle w:val="FirstParagraph"/>
      </w:pPr>
      <w:r>
        <w:t xml:space="preserve">This PCF report for wrnlepzmqq has been conducted with a commitment to the principles of relevance, completeness, consistency, transparency, and accuracy as stipulated by the GHG Protocol. While primary data was used for specific product parameters and Bill of Materials, secondary industry-average emission factors were applied where direct primary data was unavailable or to interpret placeholder values. These secondary factors, sourced from reputable databases (or illustrative averages where specific database access was not simulated), introduce a level of uncertainty. The interpretation of placeholder values for transport mode, distance, energy usage, and lifespan involved reasonable assumptions, which are explicitly stated.</w:t>
      </w:r>
    </w:p>
    <w:p>
      <w:pPr>
        <w:pStyle w:val="BodyText"/>
      </w:pPr>
      <w:r>
        <w:t xml:space="preserve">The report explicitly adheres to the</w:t>
      </w:r>
      <w:r>
        <w:t xml:space="preserve"> </w:t>
      </w:r>
      <w:r>
        <w:rPr>
          <w:bCs/>
          <w:b/>
        </w:rPr>
        <w:t xml:space="preserve">GHG Protocol Scope 3 95% Completeness Rule</w:t>
      </w:r>
      <w:r>
        <w:t xml:space="preserve">, which mandates that companies account for at least 95% of total relevant Scope 3 emissions. This ensures comprehensive coverage of the value chain. Furthermore, the report considers the upcoming</w:t>
      </w:r>
      <w:r>
        <w:t xml:space="preserve"> </w:t>
      </w:r>
      <w:r>
        <w:rPr>
          <w:bCs/>
          <w:b/>
        </w:rPr>
        <w:t xml:space="preserve">2026 Land Sector and Removals (LSR) Standard</w:t>
      </w:r>
      <w:r>
        <w:t xml:space="preserve">, recognizing its importance for land-related emissions and removals, though specific granular data for wrnlepzmqq\'s raw materials under this standard was not available for quantification in this iteration. Future iterations will aim to integrate more precise land-use data as per the LSR Standard\'s guidance, expected in Q2 2026.</w:t>
      </w:r>
    </w:p>
    <w:p>
      <w:pPr>
        <w:pStyle w:val="BodyText"/>
      </w:pPr>
      <w:r>
        <w:t xml:space="preserve">This analysis provides a robust estimate suitable for identifying major emission sources and informing initial reduction strategies. For enhanced accuracy, further primary data collection, especially concerning specific supplier emissions and actual end-user behavior, is recommended.</w:t>
      </w:r>
    </w:p>
    <w:p>
      <w:pPr>
        <w:pStyle w:val="BodyText"/>
      </w:pPr>
      <w:r>
        <w:t xml:space="preserve">Confidential - Internal Use Only | Page</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wrnlepzmqq</dc:title>
  <dc:creator/>
  <dc:description>High-detail Product Carbon Footprint (PCF) analysis for wrnlepzmqq by pwshhkfohg, a Senior Sustainability Consultant for ejkqsfqdqy, adhering to GHG Protocol (including 2026 updates) and ISO 14067 principles.</dc:description>
  <dc:language>en</dc:language>
  <cp:keywords/>
  <dcterms:created xsi:type="dcterms:W3CDTF">2026-07-16T06:59:56Z</dcterms:created>
  <dcterms:modified xsi:type="dcterms:W3CDTF">2026-07-16T06:59:56Z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