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wqgnvodnxt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wqgnvodnxt</w:t>
      </w:r>
    </w:p>
    <w:p>
      <w:pPr>
        <w:pStyle w:val="BodyText"/>
      </w:pPr>
      <w:r>
        <w:t xml:space="preserve">Company: vzzltsjkkk</w:t>
      </w:r>
    </w:p>
    <w:p>
      <w:pPr>
        <w:pStyle w:val="BodyText"/>
      </w:pPr>
      <w:r>
        <w:t xml:space="preserve">Senior Sustainability Consultant: smxpzwmjft</w:t>
      </w:r>
    </w:p>
    <w:p>
      <w:pPr>
        <w:pStyle w:val="BodyText"/>
      </w:pPr>
      <w:r>
        <w:t xml:space="preserve">Accounting Standard: GHG Protocol</w:t>
      </w:r>
    </w:p>
    <w:p>
      <w:pPr>
        <w:pStyle w:val="BodyText"/>
      </w:pPr>
      <w:r>
        <w:t xml:space="preserve">Disclaimer: This report is generated based on available data and industry standards, including specific parameters provided.</w:t>
      </w:r>
      <w:r>
        <w:t xml:space="preserve"> </w:t>
      </w:r>
      <w:r>
        <w:t xml:space="preserve">While every effort has been made to ensure accuracy, the results are indicative and subject to the quality and completeness of the input data and chosen emission factors.</w:t>
      </w:r>
    </w:p>
    <w:bookmarkEnd w:id="20"/>
    <w:bookmarkStart w:id="21" w:name="X6f801440437f2cab917c5db668d050cf0615842"/>
    <w:p>
      <w:pPr>
        <w:pStyle w:val="Heading1"/>
      </w:pPr>
      <w:r>
        <w:t xml:space="preserve">Product Carbon Footprint Analysis for wqgnvodnxt</w:t>
      </w:r>
    </w:p>
    <w:p>
      <w:pPr>
        <w:pStyle w:val="FirstParagraph"/>
      </w:pPr>
      <w:r>
        <w:rPr>
          <w:bCs/>
          <w:b/>
        </w:rPr>
        <w:t xml:space="preserve">Generated Date:</w:t>
      </w:r>
      <w:r>
        <w:t xml:space="preserve"> </w:t>
      </w:r>
      <w:r>
        <w:t xml:space="preserve">Friday, May 23,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"wqgnvodnxt" manufactured by "vzzltsjkkk," conducted by Senior Sustainability Consultant "smxpzwmjft." The analysis rigorously adheres to the Greenhouse Gas (GHG) Protocol standards, including the 2026 Land Sector and Removals (LSR) update, and ensures comprehensive Scope 3 coverage. The total carbon footprint for one functional unit of wqgnvodnxt has been determined to be</w:t>
      </w:r>
      <w:r>
        <w:t xml:space="preserve"> </w:t>
      </w:r>
      <w:r>
        <w:rPr>
          <w:bCs/>
          <w:b/>
        </w:rPr>
        <w:t xml:space="preserve">27.739 kg CO2e</w:t>
      </w:r>
      <w:r>
        <w:t xml:space="preserve">. The primary hotspots identified are material acquisition and processing, and the product\'s use phase, highlighting key areas for emission reduction strategies.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was performed following a structured methodology aligned with the GHG Protocol Product Standard, encompassing the full lifecycle of the product.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declared unit for this analysis is 1.0 unit of wqgnvodnxt.</w:t>
      </w:r>
    </w:p>
    <w:p>
      <w:pPr>
        <w:numPr>
          <w:ilvl w:val="0"/>
          <w:numId w:val="1001"/>
        </w:numPr>
        <w:pStyle w:val="Compact"/>
      </w:pPr>
      <w:r>
        <w:rPr>
          <w:bCs/>
          <w:b/>
        </w:rPr>
        <w:t xml:space="preserve">System Boundary:</w:t>
      </w:r>
      <w:r>
        <w:t xml:space="preserve"> </w:t>
      </w:r>
      <w:r>
        <w:t xml:space="preserve">The analysis employs a "cradle-to-grave" approach, encompassing all stages from raw material extraction ("cradle") through manufacturing and use, to the end-of-life ("grave") of the product. The initial production boundary is set at "factory_gate."</w:t>
      </w:r>
    </w:p>
    <w:p>
      <w:pPr>
        <w:numPr>
          <w:ilvl w:val="0"/>
          <w:numId w:val="1001"/>
        </w:numPr>
        <w:pStyle w:val="Compact"/>
      </w:pPr>
      <w:r>
        <w:rPr>
          <w:bCs/>
          <w:b/>
        </w:rPr>
        <w:t xml:space="preserve">Geographic Scope:</w:t>
      </w:r>
      <w:r>
        <w:t xml:space="preserve"> </w:t>
      </w:r>
      <w:r>
        <w:t xml:space="preserve">Final production occurs in China, with a supply chain focus on Europe. This informs the selection of regional emission factors for energy and transport.</w:t>
      </w:r>
    </w:p>
    <w:p>
      <w:pPr>
        <w:numPr>
          <w:ilvl w:val="0"/>
          <w:numId w:val="1001"/>
        </w:numPr>
        <w:pStyle w:val="Compact"/>
      </w:pPr>
      <w:r>
        <w:rPr>
          <w:bCs/>
          <w:b/>
        </w:rPr>
        <w:t xml:space="preserve">Accounting Standard:</w:t>
      </w:r>
      <w:r>
        <w:t xml:space="preserve"> </w:t>
      </w:r>
      <w:r>
        <w:t xml:space="preserve">The analysis strictly follows the 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Where co-production or multi-functional processes occur, allocation methods consistent with GHG Protocol guidance and industry best practices (e.g., mass-based allocation) have been applied. For end-of-life, a combination of direct disposal emissions and avoided burden credits for circular economy initiatives has been used to reflect recycling and material recovery benefits.</w:t>
      </w:r>
    </w:p>
    <w:bookmarkEnd w:id="23"/>
    <w:bookmarkStart w:id="24" w:name="map-lifecycle-lci-inventory-stages"/>
    <w:p>
      <w:pPr>
        <w:pStyle w:val="Heading3"/>
      </w:pPr>
      <w:r>
        <w:t xml:space="preserve">2.2. Map Lifecycle (LCI Inventory Stages)</w:t>
      </w:r>
    </w:p>
    <w:p>
      <w:pPr>
        <w:pStyle w:val="FirstParagraph"/>
      </w:pPr>
      <w:r>
        <w:t xml:space="preserve">The lifecycle of wqgnvodnxt was mapped into the following stages:</w:t>
      </w:r>
    </w:p>
    <w:p>
      <w:pPr>
        <w:numPr>
          <w:ilvl w:val="0"/>
          <w:numId w:val="1002"/>
        </w:numPr>
        <w:pStyle w:val="Compact"/>
      </w:pPr>
      <w:r>
        <w:rPr>
          <w:bCs/>
          <w:b/>
        </w:rPr>
        <w:t xml:space="preserve">Material Acquisition &amp; Pre-processing:</w:t>
      </w:r>
      <w:r>
        <w:t xml:space="preserve"> </w:t>
      </w:r>
      <w:r>
        <w:t xml:space="preserve">Extraction, processing, and refining of all raw materials detailed in the Bill of Materials.</w:t>
      </w:r>
    </w:p>
    <w:p>
      <w:pPr>
        <w:numPr>
          <w:ilvl w:val="0"/>
          <w:numId w:val="1002"/>
        </w:numPr>
        <w:pStyle w:val="Compact"/>
      </w:pPr>
      <w:r>
        <w:rPr>
          <w:bCs/>
          <w:b/>
        </w:rPr>
        <w:t xml:space="preserve">Manufacturing / Production:</w:t>
      </w:r>
      <w:r>
        <w:t xml:space="preserve"> </w:t>
      </w:r>
      <w:r>
        <w:t xml:space="preserve">Energy consumption and direct emissions associated with the assembly and finishing of the product in the final production country.</w:t>
      </w:r>
    </w:p>
    <w:p>
      <w:pPr>
        <w:numPr>
          <w:ilvl w:val="0"/>
          <w:numId w:val="1002"/>
        </w:numPr>
        <w:pStyle w:val="Compact"/>
      </w:pPr>
      <w:r>
        <w:rPr>
          <w:bCs/>
          <w:b/>
        </w:rPr>
        <w:t xml:space="preserve">Transportation &amp; Distribution:</w:t>
      </w:r>
      <w:r>
        <w:t xml:space="preserve"> </w:t>
      </w:r>
      <w:r>
        <w:t xml:space="preserve">All logistics activities, including upstream transport of materials and components, and downstream transport (last-mile delivery) of the finished product to the customer.</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Collection, recycling, disposal, and any benefits from circular economy programs.</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involved utilizing specific parameters provided and supplementing with robust secondary data from industry-standard databases (e.g., Ecoinvent, DEFRA) where primary data was not available or specified for certain generic activities.</w:t>
      </w:r>
    </w:p>
    <w:p>
      <w:r>
        <w:pict>
          <v:rect style="width:0;height:1.5pt" o:hralign="center" o:hrstd="t" o:hr="t"/>
        </w:pict>
      </w:r>
    </w:p>
    <w:bookmarkEnd w:id="25"/>
    <w:bookmarkEnd w:id="26"/>
    <w:bookmarkStart w:id="30" w:name="ghg-protocol-2026-lsr-update-compliance"/>
    <w:p>
      <w:pPr>
        <w:pStyle w:val="Heading2"/>
      </w:pPr>
      <w:r>
        <w:t xml:space="preserve">3. GHG Protocol &amp; 2026 LSR Update Compliance</w:t>
      </w:r>
    </w:p>
    <w:bookmarkStart w:id="27" w:name="ghg-protocol-scopes-categorization"/>
    <w:p>
      <w:pPr>
        <w:pStyle w:val="Heading3"/>
      </w:pPr>
      <w:r>
        <w:t xml:space="preserve">3.1. GHG Protocol Scopes Categorization</w:t>
      </w:r>
    </w:p>
    <w:p>
      <w:pPr>
        <w:pStyle w:val="FirstParagraph"/>
      </w:pPr>
      <w:r>
        <w:t xml:space="preserve">Emissions are categorized as follows:</w:t>
      </w:r>
    </w:p>
    <w:p>
      <w:pPr>
        <w:numPr>
          <w:ilvl w:val="0"/>
          <w:numId w:val="1003"/>
        </w:numPr>
        <w:pStyle w:val="Compact"/>
      </w:pPr>
      <w:r>
        <w:rPr>
          <w:bCs/>
          <w:b/>
        </w:rPr>
        <w:t xml:space="preserve">Scope 1 (Direct Emissions):</w:t>
      </w:r>
      <w:r>
        <w:t xml:space="preserve"> </w:t>
      </w:r>
      <w:r>
        <w:t xml:space="preserve">Direct GHG emissions from sources owned or controlled by vzzltsjkkk. For this product-level analysis, direct manufacturing process emissions not covered by purchased energy are considered.</w:t>
      </w:r>
    </w:p>
    <w:p>
      <w:pPr>
        <w:numPr>
          <w:ilvl w:val="0"/>
          <w:numId w:val="1003"/>
        </w:numPr>
        <w:pStyle w:val="Compact"/>
      </w:pPr>
      <w:r>
        <w:rPr>
          <w:bCs/>
          <w:b/>
        </w:rPr>
        <w:t xml:space="preserve">Scope 2 (Indirect Energy Emissions):</w:t>
      </w:r>
      <w:r>
        <w:t xml:space="preserve"> </w:t>
      </w:r>
      <w:r>
        <w:t xml:space="preserve">Indirect GHG emissions from the generation of purchased electricity, steam, heat, or cooling consumed by vzzltsjkkk\'s operations. This primarily covers the production phase\'s electricity consumption.</w:t>
      </w:r>
    </w:p>
    <w:p>
      <w:pPr>
        <w:numPr>
          <w:ilvl w:val="0"/>
          <w:numId w:val="1003"/>
        </w:numPr>
        <w:pStyle w:val="Compact"/>
      </w:pPr>
      <w:r>
        <w:rPr>
          <w:bCs/>
          <w:b/>
        </w:rPr>
        <w:t xml:space="preserve">Scope 3 (Value Chain Emissions):</w:t>
      </w:r>
      <w:r>
        <w:t xml:space="preserve"> </w:t>
      </w:r>
      <w:r>
        <w:t xml:space="preserve">All other indirect emissions occurring in the value chain, both upstream and downstream. This includes material acquisition, transport, product use, and end-of-life. The aim is for at least 95% coverage as per 2026 requirements.</w:t>
      </w:r>
    </w:p>
    <w:bookmarkEnd w:id="27"/>
    <w:bookmarkStart w:id="28" w:name="X5a4f551c90074bc557f30e0af419a5f70a48401"/>
    <w:p>
      <w:pPr>
        <w:pStyle w:val="Heading3"/>
      </w:pPr>
      <w:r>
        <w:t xml:space="preserve">3.2. 2026 Land Sector and Removals (LSR) Standard Application</w:t>
      </w:r>
    </w:p>
    <w:p>
      <w:pPr>
        <w:pStyle w:val="FirstParagraph"/>
      </w:pPr>
      <w:r>
        <w:t xml:space="preserve">The analysis applies the principles of the Land Sector and Removals (LSR) Standard. For wqgnvodnxt, while specific land-use change data was not explicitly provided for raw materials, the inclusion of materials like cardboard (packaging) implicitly acknowledges biogenic carbon flows. Future iterations with more granular data on bio-based materials will further refine LSR impacts, including potential removals and land-use change emissions where applicable. For this report, generic emission factors for materials are assumed to encapsulate typical upstream land-use impacts where relevant.</w:t>
      </w:r>
    </w:p>
    <w:bookmarkEnd w:id="28"/>
    <w:bookmarkStart w:id="29" w:name="scope-3-compliance"/>
    <w:p>
      <w:pPr>
        <w:pStyle w:val="Heading3"/>
      </w:pPr>
      <w:r>
        <w:t xml:space="preserve">3.3. Scope 3 Compliance</w:t>
      </w:r>
    </w:p>
    <w:p>
      <w:pPr>
        <w:pStyle w:val="FirstParagraph"/>
      </w:pPr>
      <w:r>
        <w:t xml:space="preserve">A comprehensive approach has been taken to ensure robust Scope 3 reporting, targeting at least 95% coverage for all relevant upstream and downstream categories. This includes Purchased Goods &amp; Services (materials), Upstream Transportation &amp; Distribution, Downstream Transportation &amp; Distribution (Last-Mile), Use of Sold Products, and End-of-Life Treatment of Sold Products.</w:t>
      </w:r>
    </w:p>
    <w:p>
      <w:r>
        <w:pict>
          <v:rect style="width:0;height:1.5pt" o:hralign="center" o:hrstd="t" o:hr="t"/>
        </w:pict>
      </w:r>
    </w:p>
    <w:bookmarkEnd w:id="29"/>
    <w:bookmarkEnd w:id="30"/>
    <w:bookmarkStart w:id="39" w:name="Xf03443ba9459ee3f541258d96d8d1bb56a51022"/>
    <w:p>
      <w:pPr>
        <w:pStyle w:val="Heading2"/>
      </w:pPr>
      <w:r>
        <w:t xml:space="preserve">4. Detailed Product Carbon Footprint (PCF) Analysis for wqgnvodnxt</w:t>
      </w:r>
    </w:p>
    <w:p>
      <w:pPr>
        <w:pStyle w:val="FirstParagraph"/>
      </w:pPr>
      <w:r>
        <w:t xml:space="preserve">This section details the data points and calculations for each lifecycle stage of wqgnvodnxt.</w:t>
      </w:r>
    </w:p>
    <w:bookmarkStart w:id="31" w:name="bill-of-materials-bom-analysis-krwjzwwe"/>
    <w:p>
      <w:pPr>
        <w:pStyle w:val="Heading3"/>
      </w:pPr>
      <w:r>
        <w:t xml:space="preserve">4.1. Bill of Materials (BOM) Analysis: krwjzwwe</w:t>
      </w:r>
    </w:p>
    <w:p>
      <w:pPr>
        <w:pStyle w:val="FirstParagraph"/>
      </w:pPr>
      <w:r>
        <w:t xml:space="preserve">The following detailed Bill of Materials (BOM) information, provided as</w:t>
      </w:r>
      <w:r>
        <w:t xml:space="preserve"> </w:t>
      </w:r>
      <w:r>
        <w:rPr>
          <w:rStyle w:val="VerbatimChar"/>
        </w:rPr>
        <w:t xml:space="preserve">krwjzwwe</w:t>
      </w:r>
      <w:r>
        <w:t xml:space="preserve">, was used for the material acquisition and pre-processing phase. The "Total Carbon" value for each item directly represents its embedded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 kg</w:t>
            </w:r>
          </w:p>
        </w:tc>
        <w:tc>
          <w:tcPr/>
          <w:p>
            <w:pPr>
              <w:pStyle w:val="Compact"/>
              <w:jc w:val="left"/>
            </w:pPr>
            <w:r>
              <w:t xml:space="preserve">3.2</w:t>
            </w:r>
          </w:p>
        </w:tc>
        <w:tc>
          <w:tcPr/>
          <w:p>
            <w:pPr>
              <w:pStyle w:val="Compact"/>
              <w:jc w:val="left"/>
            </w:pPr>
            <w:r>
              <w:t xml:space="preserve">2.24</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45.0</w:t>
            </w:r>
          </w:p>
        </w:tc>
        <w:tc>
          <w:tcPr/>
          <w:p>
            <w:pPr>
              <w:pStyle w:val="Compact"/>
              <w:jc w:val="left"/>
            </w:pPr>
            <w:r>
              <w:t xml:space="preserve">4.5</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005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 kg</w:t>
            </w:r>
          </w:p>
        </w:tc>
        <w:tc>
          <w:tcPr/>
          <w:p>
            <w:pPr>
              <w:pStyle w:val="Compact"/>
              <w:jc w:val="left"/>
            </w:pPr>
            <w:r>
              <w:t xml:space="preserve">1.0</w:t>
            </w:r>
          </w:p>
        </w:tc>
        <w:tc>
          <w:tcPr/>
          <w:p>
            <w:pPr>
              <w:pStyle w:val="Compact"/>
              <w:jc w:val="left"/>
            </w:pPr>
            <w:r>
              <w:t xml:space="preserve">0.3</w:t>
            </w:r>
          </w:p>
        </w:tc>
      </w:tr>
      <w:tr>
        <w:tc>
          <w:tcPr>
            <w:gridSpan w:val="6"/>
          </w:tcPr>
          <w:p>
            <w:pPr>
              <w:pStyle w:val="Compact"/>
              <w:jc w:val="left"/>
            </w:pPr>
            <w:r>
              <w:rPr>
                <w:bCs/>
                <w:b/>
              </w:rPr>
              <w:t xml:space="preserve">Total Material Acquisition &amp; Pre-processing Emissions (Scope 3 - Upstream)</w:t>
            </w:r>
          </w:p>
        </w:tc>
        <w:tc>
          <w:tcPr/>
          <w:p>
            <w:pPr>
              <w:pStyle w:val="Compact"/>
              <w:jc w:val="left"/>
            </w:pPr>
            <w:r>
              <w:rPr>
                <w:bCs/>
                <w:b/>
              </w:rPr>
              <w:t xml:space="preserve">18.04</w:t>
            </w:r>
          </w:p>
        </w:tc>
      </w:tr>
    </w:tbl>
    <w:p>
      <w:pPr>
        <w:pStyle w:val="BodyText"/>
      </w:pPr>
      <w:r>
        <w:rPr>
          <w:iCs/>
          <w:i/>
        </w:rPr>
        <w:t xml:space="preserve">(Note: Emission factors for materials are illustrative, based on typical industry averages for the specified processes from sources like Ecoinvent/DEFRA.)</w:t>
      </w:r>
    </w:p>
    <w:p>
      <w:pPr>
        <w:pStyle w:val="BodyText"/>
      </w:pPr>
      <w:r>
        <w:rPr>
          <w:bCs/>
          <w:b/>
        </w:rPr>
        <w:t xml:space="preserve">Total Product Weight (including packaging):</w:t>
      </w:r>
      <w:r>
        <w:t xml:space="preserve"> </w:t>
      </w:r>
      <w:r>
        <w:t xml:space="preserve">1.8 kg</w:t>
      </w:r>
    </w:p>
    <w:bookmarkEnd w:id="31"/>
    <w:bookmarkStart w:id="33" w:name="production-phase-analysis"/>
    <w:p>
      <w:pPr>
        <w:pStyle w:val="Heading3"/>
      </w:pPr>
      <w:r>
        <w:t xml:space="preserve">4.2. Production Phase Analysis</w:t>
      </w:r>
    </w:p>
    <w:bookmarkStart w:id="32" w:name="energy-consumption-wtlohesugq-xeelfekoks"/>
    <w:p>
      <w:pPr>
        <w:pStyle w:val="Heading4"/>
      </w:pPr>
      <w:r>
        <w:t xml:space="preserve">4.2.1. Energy Consumption: wtlohesugq &amp; xeelfekoks</w:t>
      </w:r>
    </w:p>
    <w:p>
      <w:pPr>
        <w:numPr>
          <w:ilvl w:val="0"/>
          <w:numId w:val="1004"/>
        </w:numPr>
        <w:pStyle w:val="Compact"/>
      </w:pPr>
      <w:r>
        <w:rPr>
          <w:bCs/>
          <w:b/>
        </w:rPr>
        <w:t xml:space="preserve">Energy Intensity (kWh/unit):</w:t>
      </w:r>
      <w:r>
        <w:t xml:space="preserve"> </w:t>
      </w:r>
      <w:r>
        <w:rPr>
          <w:rStyle w:val="VerbatimChar"/>
        </w:rPr>
        <w:t xml:space="preserve">wtlohesugq</w:t>
      </w:r>
      <w:r>
        <w:t xml:space="preserve"> </w:t>
      </w:r>
      <w:r>
        <w:t xml:space="preserve">= 15 kWh/unit (assumed for calculation).</w:t>
      </w:r>
    </w:p>
    <w:p>
      <w:pPr>
        <w:numPr>
          <w:ilvl w:val="0"/>
          <w:numId w:val="1004"/>
        </w:numPr>
        <w:pStyle w:val="Compact"/>
      </w:pPr>
      <w:r>
        <w:rPr>
          <w:bCs/>
          <w:b/>
        </w:rPr>
        <w:t xml:space="preserve">Renewable Energy Usage:</w:t>
      </w:r>
      <w:r>
        <w:t xml:space="preserve"> </w:t>
      </w:r>
      <w:r>
        <w:rPr>
          <w:rStyle w:val="VerbatimChar"/>
        </w:rPr>
        <w:t xml:space="preserve">xeelfekoks</w:t>
      </w:r>
      <w:r>
        <w:t xml:space="preserve"> </w:t>
      </w:r>
      <w:r>
        <w:t xml:space="preserve">= 60% (assumed for calculation).</w:t>
      </w:r>
    </w:p>
    <w:p>
      <w:pPr>
        <w:numPr>
          <w:ilvl w:val="0"/>
          <w:numId w:val="1004"/>
        </w:numPr>
        <w:pStyle w:val="Compact"/>
      </w:pPr>
      <w:r>
        <w:rPr>
          <w:bCs/>
          <w:b/>
        </w:rPr>
        <w:t xml:space="preserve">Non-renewable Electricity Consumption:</w:t>
      </w:r>
      <w:r>
        <w:t xml:space="preserve"> </w:t>
      </w:r>
      <w:r>
        <w:t xml:space="preserve">15 kWh/unit * (1 - 0.60) = 6 kWh/unit.</w:t>
      </w:r>
    </w:p>
    <w:p>
      <w:pPr>
        <w:numPr>
          <w:ilvl w:val="0"/>
          <w:numId w:val="1004"/>
        </w:numPr>
        <w:pStyle w:val="Compact"/>
      </w:pPr>
      <w:r>
        <w:rPr>
          <w:bCs/>
          <w:b/>
        </w:rPr>
        <w:t xml:space="preserve">China Electricity Grid Emission Factor:</w:t>
      </w:r>
      <w:r>
        <w:t xml:space="preserve"> </w:t>
      </w:r>
      <w:r>
        <w:t xml:space="preserve">0.577 kg CO2e/kWh (Source: China Electricity Carbon Footprint &amp; Environmental Impact).</w:t>
      </w:r>
    </w:p>
    <w:p>
      <w:pPr>
        <w:numPr>
          <w:ilvl w:val="0"/>
          <w:numId w:val="1004"/>
        </w:numPr>
        <w:pStyle w:val="Compact"/>
      </w:pPr>
      <w:r>
        <w:rPr>
          <w:bCs/>
          <w:b/>
        </w:rPr>
        <w:t xml:space="preserve">Production Energy Emissions (Scope 2):</w:t>
      </w:r>
      <w:r>
        <w:t xml:space="preserve"> </w:t>
      </w:r>
      <w:r>
        <w:t xml:space="preserve">6 kWh/unit * 0.577 kg CO2e/kWh =</w:t>
      </w:r>
      <w:r>
        <w:t xml:space="preserve"> </w:t>
      </w:r>
      <w:r>
        <w:rPr>
          <w:bCs/>
          <w:b/>
        </w:rPr>
        <w:t xml:space="preserve">3.462 kg CO2e</w:t>
      </w:r>
      <w:r>
        <w:t xml:space="preserve">.</w:t>
      </w:r>
    </w:p>
    <w:bookmarkEnd w:id="32"/>
    <w:bookmarkEnd w:id="33"/>
    <w:bookmarkStart w:id="36" w:name="transportation-and-distribution-analysis"/>
    <w:p>
      <w:pPr>
        <w:pStyle w:val="Heading3"/>
      </w:pPr>
      <w:r>
        <w:t xml:space="preserve">4.3. Transportation and Distribution Analysis</w:t>
      </w:r>
    </w:p>
    <w:bookmarkStart w:id="34" w:name="Xf7adee3f8fa6f0baa629d826932ca9791e8b8af"/>
    <w:p>
      <w:pPr>
        <w:pStyle w:val="Heading4"/>
      </w:pPr>
      <w:r>
        <w:t xml:space="preserve">4.3.1. Upstream Transportation (Materials &amp; Components)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 Assumed primarily "Container Ship (long-haul) + Road Freight (Europe focused)" for components originating from various suppliers.</w:t>
      </w:r>
    </w:p>
    <w:p>
      <w:pPr>
        <w:numPr>
          <w:ilvl w:val="0"/>
          <w:numId w:val="1005"/>
        </w:numPr>
        <w:pStyle w:val="Compact"/>
      </w:pPr>
      <w:r>
        <w:rPr>
          <w:bCs/>
          <w:b/>
        </w:rPr>
        <w:t xml:space="preserve">Transport Distance:</w:t>
      </w:r>
      <w:r>
        <w:t xml:space="preserve"> </w:t>
      </w:r>
      <w:r>
        <w:rPr>
          <w:rStyle w:val="VerbatimChar"/>
        </w:rPr>
        <w:t xml:space="preserve">plplhheqek</w:t>
      </w:r>
      <w:r>
        <w:t xml:space="preserve"> </w:t>
      </w:r>
      <w:r>
        <w:t xml:space="preserve">- Assumed 10,000 km for ocean freight (China to Europe) and 500 km for road freight (within Europe). Total = 10,500 km.</w:t>
      </w:r>
    </w:p>
    <w:p>
      <w:pPr>
        <w:numPr>
          <w:ilvl w:val="0"/>
          <w:numId w:val="1005"/>
        </w:numPr>
        <w:pStyle w:val="Compact"/>
      </w:pPr>
      <w:r>
        <w:rPr>
          <w:bCs/>
          <w:b/>
        </w:rPr>
        <w:t xml:space="preserve">Emission Factor - Ocean Freight (Container Ship):</w:t>
      </w:r>
      <w:r>
        <w:t xml:space="preserve"> </w:t>
      </w:r>
      <w:r>
        <w:t xml:space="preserve">0.010 kg CO2e/tonne-km (0.000010 kg CO2e/kg-km).</w:t>
      </w:r>
    </w:p>
    <w:p>
      <w:pPr>
        <w:numPr>
          <w:ilvl w:val="0"/>
          <w:numId w:val="1005"/>
        </w:numPr>
        <w:pStyle w:val="Compact"/>
      </w:pPr>
      <w:r>
        <w:rPr>
          <w:bCs/>
          <w:b/>
        </w:rPr>
        <w:t xml:space="preserve">Emission Factor - Road Freight (HGV):</w:t>
      </w:r>
      <w:r>
        <w:t xml:space="preserve"> </w:t>
      </w:r>
      <w:r>
        <w:t xml:space="preserve">0.065 kg CO2e/tonne-km (0.000065 kg CO2e/kg-km).</w:t>
      </w:r>
    </w:p>
    <w:p>
      <w:pPr>
        <w:numPr>
          <w:ilvl w:val="0"/>
          <w:numId w:val="1005"/>
        </w:numPr>
        <w:pStyle w:val="Compact"/>
      </w:pPr>
      <w:r>
        <w:rPr>
          <w:bCs/>
          <w:b/>
        </w:rPr>
        <w:t xml:space="preserve">Total Product Weight for Transport:</w:t>
      </w:r>
      <w:r>
        <w:t xml:space="preserve"> </w:t>
      </w:r>
      <w:r>
        <w:t xml:space="preserve">1.8 kg.</w:t>
      </w:r>
    </w:p>
    <w:p>
      <w:pPr>
        <w:numPr>
          <w:ilvl w:val="0"/>
          <w:numId w:val="1005"/>
        </w:numPr>
        <w:pStyle w:val="Compact"/>
      </w:pPr>
      <w:r>
        <w:rPr>
          <w:bCs/>
          <w:b/>
        </w:rPr>
        <w:t xml:space="preserve">Calculated Upstream Transport Emissions (Scope 3 - Upstream):</w:t>
      </w:r>
    </w:p>
    <w:p>
      <w:pPr>
        <w:numPr>
          <w:ilvl w:val="1"/>
          <w:numId w:val="1006"/>
        </w:numPr>
        <w:pStyle w:val="Compact"/>
      </w:pPr>
      <w:r>
        <w:t xml:space="preserve">Ocean: 1.8 kg * 10,000 km * 0.000010 kg CO2e/kg-km = 0.18 kg CO2e</w:t>
      </w:r>
    </w:p>
    <w:p>
      <w:pPr>
        <w:numPr>
          <w:ilvl w:val="1"/>
          <w:numId w:val="1006"/>
        </w:numPr>
        <w:pStyle w:val="Compact"/>
      </w:pPr>
      <w:r>
        <w:t xml:space="preserve">Road: 1.8 kg * 500 km * 0.000065 kg CO2e/kg-km = 0.0585 kg CO2e</w:t>
      </w:r>
    </w:p>
    <w:p>
      <w:pPr>
        <w:numPr>
          <w:ilvl w:val="1"/>
          <w:numId w:val="1006"/>
        </w:numPr>
        <w:pStyle w:val="Compact"/>
      </w:pPr>
      <w:r>
        <w:rPr>
          <w:bCs/>
          <w:b/>
        </w:rPr>
        <w:t xml:space="preserve">Total: 0.18 + 0.0585 = 0.2385 kg CO2e</w:t>
      </w:r>
    </w:p>
    <w:bookmarkEnd w:id="34"/>
    <w:bookmarkStart w:id="35" w:name="last-mile-delivery-channel"/>
    <w:p>
      <w:pPr>
        <w:pStyle w:val="Heading4"/>
      </w:pPr>
      <w:r>
        <w:t xml:space="preserve">4.3.2. Last-Mile Delivery Channel</w:t>
      </w:r>
    </w:p>
    <w:p>
      <w:pPr>
        <w:numPr>
          <w:ilvl w:val="0"/>
          <w:numId w:val="1007"/>
        </w:numPr>
        <w:pStyle w:val="Compact"/>
      </w:pPr>
      <w:r>
        <w:rPr>
          <w:bCs/>
          <w:b/>
        </w:rPr>
        <w:t xml:space="preserve">Last-Mile Delivery Channel:</w:t>
      </w:r>
      <w:r>
        <w:t xml:space="preserve"> </w:t>
      </w:r>
      <w:r>
        <w:rPr>
          <w:rStyle w:val="VerbatimChar"/>
        </w:rPr>
        <w:t xml:space="preserve">Delivery Type</w:t>
      </w:r>
      <w:r>
        <w:t xml:space="preserve"> </w:t>
      </w:r>
      <w:r>
        <w:t xml:space="preserve">- Assumed "Light Commercial Vehicle" for final delivery.</w:t>
      </w:r>
    </w:p>
    <w:p>
      <w:pPr>
        <w:numPr>
          <w:ilvl w:val="0"/>
          <w:numId w:val="1007"/>
        </w:numPr>
        <w:pStyle w:val="Compact"/>
      </w:pPr>
      <w:r>
        <w:rPr>
          <w:bCs/>
          <w:b/>
        </w:rPr>
        <w:t xml:space="preserve">Distance:</w:t>
      </w:r>
      <w:r>
        <w:t xml:space="preserve"> </w:t>
      </w:r>
      <w:r>
        <w:t xml:space="preserve">Assumed 50 km for typical last-mile delivery.</w:t>
      </w:r>
    </w:p>
    <w:p>
      <w:pPr>
        <w:numPr>
          <w:ilvl w:val="0"/>
          <w:numId w:val="1007"/>
        </w:numPr>
        <w:pStyle w:val="Compact"/>
      </w:pPr>
      <w:r>
        <w:rPr>
          <w:bCs/>
          <w:b/>
        </w:rPr>
        <w:t xml:space="preserve">Emission Factor - Light Commercial Vehicle (LCV):</w:t>
      </w:r>
      <w:r>
        <w:t xml:space="preserve"> </w:t>
      </w:r>
      <w:r>
        <w:t xml:space="preserve">0.25 kg CO2e/tonne-km (0.00025 kg CO2e/kg-km).</w:t>
      </w:r>
    </w:p>
    <w:p>
      <w:pPr>
        <w:numPr>
          <w:ilvl w:val="0"/>
          <w:numId w:val="1007"/>
        </w:numPr>
        <w:pStyle w:val="Compact"/>
      </w:pPr>
      <w:r>
        <w:rPr>
          <w:bCs/>
          <w:b/>
        </w:rPr>
        <w:t xml:space="preserve">Calculated Last-Mile Delivery Emissions (Scope 3 - Downstream):</w:t>
      </w:r>
      <w:r>
        <w:t xml:space="preserve"> </w:t>
      </w:r>
      <w:r>
        <w:t xml:space="preserve">1.8 kg * 50 km * 0.00025 kg CO2e/kg-km =</w:t>
      </w:r>
      <w:r>
        <w:t xml:space="preserve"> </w:t>
      </w:r>
      <w:r>
        <w:rPr>
          <w:bCs/>
          <w:b/>
        </w:rPr>
        <w:t xml:space="preserve">0.0225 kg CO2e</w:t>
      </w:r>
      <w:r>
        <w:t xml:space="preserve">.</w:t>
      </w:r>
    </w:p>
    <w:bookmarkEnd w:id="35"/>
    <w:bookmarkEnd w:id="36"/>
    <w:bookmarkStart w:id="37" w:name="use-phase-analysis"/>
    <w:p>
      <w:pPr>
        <w:pStyle w:val="Heading3"/>
      </w:pPr>
      <w:r>
        <w:t xml:space="preserve">4.4. Use Phase Analysis</w:t>
      </w:r>
    </w:p>
    <w:p>
      <w:pPr>
        <w:numPr>
          <w:ilvl w:val="0"/>
          <w:numId w:val="1008"/>
        </w:numPr>
        <w:pStyle w:val="Compact"/>
      </w:pPr>
      <w:r>
        <w:rPr>
          <w:bCs/>
          <w:b/>
        </w:rPr>
        <w:t xml:space="preserve">Product Lifespan:</w:t>
      </w:r>
      <w:r>
        <w:t xml:space="preserve"> </w:t>
      </w:r>
      <w:r>
        <w:rPr>
          <w:rStyle w:val="VerbatimChar"/>
        </w:rPr>
        <w:t xml:space="preserve">mlxpmqrukf</w:t>
      </w:r>
      <w:r>
        <w:t xml:space="preserve"> </w:t>
      </w:r>
      <w:r>
        <w:t xml:space="preserve">= 3 years (assumed for calculation).</w:t>
      </w:r>
    </w:p>
    <w:p>
      <w:pPr>
        <w:numPr>
          <w:ilvl w:val="0"/>
          <w:numId w:val="1008"/>
        </w:numPr>
        <w:pStyle w:val="Compact"/>
      </w:pPr>
      <w:r>
        <w:rPr>
          <w:bCs/>
          <w:b/>
        </w:rPr>
        <w:t xml:space="preserve">Energy Consumption in Use:</w:t>
      </w:r>
      <w:r>
        <w:t xml:space="preserve"> </w:t>
      </w:r>
      <w:r>
        <w:rPr>
          <w:rStyle w:val="VerbatimChar"/>
        </w:rPr>
        <w:t xml:space="preserve">ivuzwyffzf</w:t>
      </w:r>
      <w:r>
        <w:t xml:space="preserve"> </w:t>
      </w:r>
      <w:r>
        <w:t xml:space="preserve">= 5 kWh/year (assumed for calculation).</w:t>
      </w:r>
    </w:p>
    <w:p>
      <w:pPr>
        <w:numPr>
          <w:ilvl w:val="0"/>
          <w:numId w:val="1008"/>
        </w:numPr>
        <w:pStyle w:val="Compact"/>
      </w:pPr>
      <w:r>
        <w:rPr>
          <w:bCs/>
          <w:b/>
        </w:rPr>
        <w:t xml:space="preserve">User Electricity Mix Emission Factor:</w:t>
      </w:r>
      <w:r>
        <w:t xml:space="preserve"> </w:t>
      </w:r>
      <w:r>
        <w:t xml:space="preserve">0.577 kg CO2e/kWh (assuming similar grid mix as production for consistency or average global mix).</w:t>
      </w:r>
    </w:p>
    <w:p>
      <w:pPr>
        <w:numPr>
          <w:ilvl w:val="0"/>
          <w:numId w:val="1008"/>
        </w:numPr>
        <w:pStyle w:val="Compact"/>
      </w:pPr>
      <w:r>
        <w:rPr>
          <w:bCs/>
          <w:b/>
        </w:rPr>
        <w:t xml:space="preserve">Calculated Use Phase Emissions (Scope 3 - Downstream):</w:t>
      </w:r>
      <w:r>
        <w:t xml:space="preserve"> </w:t>
      </w:r>
      <w:r>
        <w:t xml:space="preserve">3 years * 5 kWh/year * 0.577 kg CO2e/kWh =</w:t>
      </w:r>
      <w:r>
        <w:t xml:space="preserve"> </w:t>
      </w:r>
      <w:r>
        <w:rPr>
          <w:bCs/>
          <w:b/>
        </w:rPr>
        <w:t xml:space="preserve">8.655 kg CO2e</w:t>
      </w:r>
      <w:r>
        <w:t xml:space="preserve">.</w:t>
      </w:r>
    </w:p>
    <w:bookmarkEnd w:id="37"/>
    <w:bookmarkStart w:id="38" w:name="end-of-life-eol-scenarios-analysis"/>
    <w:p>
      <w:pPr>
        <w:pStyle w:val="Heading3"/>
      </w:pPr>
      <w:r>
        <w:t xml:space="preserve">4.5. End-of-Life (EoL) Scenarios Analysis</w:t>
      </w:r>
    </w:p>
    <w:p>
      <w:pPr>
        <w:numPr>
          <w:ilvl w:val="0"/>
          <w:numId w:val="1009"/>
        </w:numPr>
        <w:pStyle w:val="Compact"/>
      </w:pPr>
      <w:r>
        <w:rPr>
          <w:bCs/>
          <w:b/>
        </w:rPr>
        <w:t xml:space="preserve">Recyclability Percentage:</w:t>
      </w:r>
      <w:r>
        <w:t xml:space="preserve"> </w:t>
      </w:r>
      <w:r>
        <w:rPr>
          <w:rStyle w:val="VerbatimChar"/>
        </w:rPr>
        <w:t xml:space="preserve">wylyytemsm</w:t>
      </w:r>
      <w:r>
        <w:t xml:space="preserve"> </w:t>
      </w:r>
      <w:r>
        <w:t xml:space="preserve">= 85% (assumed for calculation).</w:t>
      </w:r>
    </w:p>
    <w:p>
      <w:pPr>
        <w:numPr>
          <w:ilvl w:val="0"/>
          <w:numId w:val="1009"/>
        </w:numPr>
        <w:pStyle w:val="Compact"/>
      </w:pPr>
      <w:r>
        <w:rPr>
          <w:bCs/>
          <w:b/>
        </w:rPr>
        <w:t xml:space="preserve">Circular/Take-back Programs:</w:t>
      </w:r>
      <w:r>
        <w:t xml:space="preserve"> </w:t>
      </w:r>
      <w:r>
        <w:rPr>
          <w:rStyle w:val="VerbatimChar"/>
        </w:rPr>
        <w:t xml:space="preserve">qfpkopxnju</w:t>
      </w:r>
      <w:r>
        <w:t xml:space="preserve"> </w:t>
      </w:r>
      <w:r>
        <w:t xml:space="preserve">= "Product take-back and refurbishment program in place, leading to a 15% reduction in virgin material demand for new products due to recovered components and materials." (Assumed for calculation).</w:t>
      </w:r>
    </w:p>
    <w:p>
      <w:pPr>
        <w:numPr>
          <w:ilvl w:val="0"/>
          <w:numId w:val="1009"/>
        </w:numPr>
        <w:pStyle w:val="Compact"/>
      </w:pPr>
      <w:r>
        <w:rPr>
          <w:bCs/>
          <w:b/>
        </w:rPr>
        <w:t xml:space="preserve">Disposal (non-recycled) Emissions:</w:t>
      </w:r>
    </w:p>
    <w:p>
      <w:pPr>
        <w:numPr>
          <w:ilvl w:val="1"/>
          <w:numId w:val="1010"/>
        </w:numPr>
        <w:pStyle w:val="Compact"/>
      </w:pPr>
      <w:r>
        <w:t xml:space="preserve">Non-recycled portion: (1 - 0.85) = 0.15.</w:t>
      </w:r>
    </w:p>
    <w:p>
      <w:pPr>
        <w:numPr>
          <w:ilvl w:val="1"/>
          <w:numId w:val="1010"/>
        </w:numPr>
        <w:pStyle w:val="Compact"/>
      </w:pPr>
      <w:r>
        <w:t xml:space="preserve">Total Product Weight: 1.8 kg.</w:t>
      </w:r>
    </w:p>
    <w:p>
      <w:pPr>
        <w:numPr>
          <w:ilvl w:val="1"/>
          <w:numId w:val="1010"/>
        </w:numPr>
        <w:pStyle w:val="Compact"/>
      </w:pPr>
      <w:r>
        <w:t xml:space="preserve">Emission Factor for Landfill (Mixed Waste): 0.1 kg CO2e/kg (approximate, based on general waste landfill EFs).</w:t>
      </w:r>
    </w:p>
    <w:p>
      <w:pPr>
        <w:numPr>
          <w:ilvl w:val="1"/>
          <w:numId w:val="1010"/>
        </w:numPr>
        <w:pStyle w:val="Compact"/>
      </w:pPr>
      <w:r>
        <w:t xml:space="preserve">Calculated Disposal Emissions: 0.15 * 1.8 kg * 0.1 kg CO2e/kg = 0.027 kg CO2e.</w:t>
      </w:r>
    </w:p>
    <w:p>
      <w:pPr>
        <w:numPr>
          <w:ilvl w:val="0"/>
          <w:numId w:val="1009"/>
        </w:numPr>
        <w:pStyle w:val="Compact"/>
      </w:pPr>
      <w:r>
        <w:rPr>
          <w:bCs/>
          <w:b/>
        </w:rPr>
        <w:t xml:space="preserve">Avoided Emissions (Circular Programs):</w:t>
      </w:r>
      <w:r>
        <w:t xml:space="preserve"> </w:t>
      </w:r>
      <w:r>
        <w:t xml:space="preserve">Applying a substitution approach for avoided virgin material production due to circular economy initiatives.</w:t>
      </w:r>
    </w:p>
    <w:p>
      <w:pPr>
        <w:numPr>
          <w:ilvl w:val="1"/>
          <w:numId w:val="1011"/>
        </w:numPr>
        <w:pStyle w:val="Compact"/>
      </w:pPr>
      <w:r>
        <w:t xml:space="preserve">Reduction in virgin material demand: 15%.</w:t>
      </w:r>
    </w:p>
    <w:p>
      <w:pPr>
        <w:numPr>
          <w:ilvl w:val="1"/>
          <w:numId w:val="1011"/>
        </w:numPr>
        <w:pStyle w:val="Compact"/>
      </w:pPr>
      <w:r>
        <w:t xml:space="preserve">Total Material Acquisition &amp; Pre-processing Emissions: 18.04 kg CO2e.</w:t>
      </w:r>
    </w:p>
    <w:p>
      <w:pPr>
        <w:numPr>
          <w:ilvl w:val="1"/>
          <w:numId w:val="1011"/>
        </w:numPr>
        <w:pStyle w:val="Compact"/>
      </w:pPr>
      <w:r>
        <w:t xml:space="preserve">Calculated Avoided Emissions: 0.15 * 18.04 kg CO2e = 2.706 kg CO2e (credit).</w:t>
      </w:r>
    </w:p>
    <w:p>
      <w:pPr>
        <w:numPr>
          <w:ilvl w:val="0"/>
          <w:numId w:val="1009"/>
        </w:numPr>
        <w:pStyle w:val="Compact"/>
      </w:pPr>
      <w:r>
        <w:rPr>
          <w:bCs/>
          <w:b/>
        </w:rPr>
        <w:t xml:space="preserve">Net End-of-Life Emissions (Scope 3 - Downstream):</w:t>
      </w:r>
      <w:r>
        <w:t xml:space="preserve"> </w:t>
      </w:r>
      <w:r>
        <w:t xml:space="preserve">0.027 kg CO2e (Disposal) - 2.706 kg CO2e (Avoided) =</w:t>
      </w:r>
      <w:r>
        <w:t xml:space="preserve"> </w:t>
      </w:r>
      <w:r>
        <w:rPr>
          <w:bCs/>
          <w:b/>
        </w:rPr>
        <w:t xml:space="preserve">-2.679 kg CO2e</w:t>
      </w:r>
      <w:r>
        <w:t xml:space="preserve"> </w:t>
      </w:r>
      <w:r>
        <w:t xml:space="preserve">(net benefit).</w:t>
      </w:r>
    </w:p>
    <w:p>
      <w:r>
        <w:pict>
          <v:rect style="width:0;height:1.5pt" o:hralign="center" o:hrstd="t" o:hr="t"/>
        </w:pict>
      </w:r>
    </w:p>
    <w:bookmarkEnd w:id="38"/>
    <w:bookmarkEnd w:id="39"/>
    <w:bookmarkStart w:id="43" w:name="emissions-calculation-review-reporting"/>
    <w:p>
      <w:pPr>
        <w:pStyle w:val="Heading2"/>
      </w:pPr>
      <w:r>
        <w:t xml:space="preserve">5. Emissions Calculation, Review &amp; Reporting</w:t>
      </w:r>
    </w:p>
    <w:bookmarkStart w:id="40" w:name="X2b3f44df9113a5016734a8a73fa0770a525f507"/>
    <w:p>
      <w:pPr>
        <w:pStyle w:val="Heading3"/>
      </w:pPr>
      <w:r>
        <w:t xml:space="preserve">5.1. Total Product Carbon Footprint (PCF) for wqgnvodnxt</w:t>
      </w:r>
    </w:p>
    <w:p>
      <w:pPr>
        <w:pStyle w:val="FirstParagraph"/>
      </w:pPr>
      <w:r>
        <w:t xml:space="preserve">The aggregated Product Carbon Footprint for one functional unit of wqgnvodnxt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18.040</w:t>
            </w:r>
          </w:p>
        </w:tc>
        <w:tc>
          <w:tcPr/>
          <w:p>
            <w:pPr>
              <w:pStyle w:val="Compact"/>
              <w:jc w:val="left"/>
            </w:pPr>
            <w:r>
              <w:t xml:space="preserve">Scope 3 (Upstream)</w:t>
            </w:r>
          </w:p>
        </w:tc>
      </w:tr>
      <w:tr>
        <w:tc>
          <w:tcPr/>
          <w:p>
            <w:pPr>
              <w:pStyle w:val="Compact"/>
              <w:jc w:val="left"/>
            </w:pPr>
            <w:r>
              <w:t xml:space="preserve">Upstream Transportation</w:t>
            </w:r>
          </w:p>
        </w:tc>
        <w:tc>
          <w:tcPr/>
          <w:p>
            <w:pPr>
              <w:pStyle w:val="Compact"/>
              <w:jc w:val="left"/>
            </w:pPr>
            <w:r>
              <w:t xml:space="preserve">0.2385</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3.462</w:t>
            </w:r>
          </w:p>
        </w:tc>
        <w:tc>
          <w:tcPr/>
          <w:p>
            <w:pPr>
              <w:pStyle w:val="Compact"/>
              <w:jc w:val="left"/>
            </w:pPr>
            <w:r>
              <w:t xml:space="preserve">Scope 2</w:t>
            </w:r>
          </w:p>
        </w:tc>
      </w:tr>
      <w:tr>
        <w:tc>
          <w:tcPr/>
          <w:p>
            <w:pPr>
              <w:pStyle w:val="Compact"/>
              <w:jc w:val="left"/>
            </w:pPr>
            <w:r>
              <w:t xml:space="preserve">Last-Mile Delivery</w:t>
            </w:r>
          </w:p>
        </w:tc>
        <w:tc>
          <w:tcPr/>
          <w:p>
            <w:pPr>
              <w:pStyle w:val="Compact"/>
              <w:jc w:val="left"/>
            </w:pPr>
            <w:r>
              <w:t xml:space="preserve">0.0225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8.655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-2.679</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27.739</w:t>
            </w:r>
          </w:p>
        </w:tc>
        <w:tc>
          <w:tcPr/>
          <w:p>
            <w:pPr>
              <w:pStyle w:val="Compact"/>
            </w:pPr>
          </w:p>
        </w:tc>
      </w:tr>
    </w:tbl>
    <w:bookmarkEnd w:id="40"/>
    <w:bookmarkStart w:id="41" w:name="Xdbea411ba479f4fc7882af9c5dd5d0262188425"/>
    <w:p>
      <w:pPr>
        <w:pStyle w:val="Heading3"/>
      </w:pPr>
      <w:r>
        <w:t xml:space="preserve">5.2. Emissions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3.462</w:t>
            </w:r>
          </w:p>
        </w:tc>
        <w:tc>
          <w:tcPr/>
          <w:p>
            <w:pPr>
              <w:pStyle w:val="Compact"/>
              <w:jc w:val="left"/>
            </w:pPr>
            <w:r>
              <w:t xml:space="preserve">12.48%</w:t>
            </w:r>
          </w:p>
        </w:tc>
      </w:tr>
      <w:tr>
        <w:tc>
          <w:tcPr/>
          <w:p>
            <w:pPr>
              <w:pStyle w:val="Compact"/>
              <w:jc w:val="left"/>
            </w:pPr>
            <w:r>
              <w:t xml:space="preserve">Scope 3 (Value Chain)</w:t>
            </w:r>
          </w:p>
        </w:tc>
        <w:tc>
          <w:tcPr/>
          <w:p>
            <w:pPr>
              <w:pStyle w:val="Compact"/>
              <w:jc w:val="left"/>
            </w:pPr>
            <w:r>
              <w:t xml:space="preserve">24.277</w:t>
            </w:r>
          </w:p>
        </w:tc>
        <w:tc>
          <w:tcPr/>
          <w:p>
            <w:pPr>
              <w:pStyle w:val="Compact"/>
              <w:jc w:val="left"/>
            </w:pPr>
            <w:r>
              <w:t xml:space="preserve">87.52%</w:t>
            </w:r>
          </w:p>
        </w:tc>
      </w:tr>
      <w:tr>
        <w:tc>
          <w:tcPr/>
          <w:p>
            <w:pPr>
              <w:pStyle w:val="Compact"/>
              <w:jc w:val="left"/>
            </w:pPr>
            <w:r>
              <w:rPr>
                <w:bCs/>
                <w:b/>
              </w:rPr>
              <w:t xml:space="preserve">Total PCF</w:t>
            </w:r>
          </w:p>
        </w:tc>
        <w:tc>
          <w:tcPr/>
          <w:p>
            <w:pPr>
              <w:pStyle w:val="Compact"/>
              <w:jc w:val="left"/>
            </w:pPr>
            <w:r>
              <w:rPr>
                <w:bCs/>
                <w:b/>
              </w:rPr>
              <w:t xml:space="preserve">27.739</w:t>
            </w:r>
          </w:p>
        </w:tc>
        <w:tc>
          <w:tcPr/>
          <w:p>
            <w:pPr>
              <w:pStyle w:val="Compact"/>
              <w:jc w:val="left"/>
            </w:pPr>
            <w:r>
              <w:rPr>
                <w:bCs/>
                <w:b/>
              </w:rPr>
              <w:t xml:space="preserve">100.00%</w:t>
            </w:r>
          </w:p>
        </w:tc>
      </w:tr>
    </w:tbl>
    <w:p>
      <w:pPr>
        <w:pStyle w:val="BodyText"/>
      </w:pPr>
      <w:r>
        <w:rPr>
          <w:iCs/>
          <w:i/>
        </w:rPr>
        <w:t xml:space="preserve">(Note: Scope 1 emissions are assumed to be negligible or embedded within the scope 3 material emission factors for this product-level analysis, focusing on purchased energy and value chain impacts.)</w:t>
      </w:r>
    </w:p>
    <w:bookmarkEnd w:id="41"/>
    <w:bookmarkStart w:id="42" w:name="hotspot-analysis-and-reliability"/>
    <w:p>
      <w:pPr>
        <w:pStyle w:val="Heading3"/>
      </w:pPr>
      <w:r>
        <w:t xml:space="preserve">5.3. Hotspot Analysis and Reliability</w:t>
      </w:r>
    </w:p>
    <w:p>
      <w:pPr>
        <w:pStyle w:val="FirstParagraph"/>
      </w:pPr>
      <w:r>
        <w:t xml:space="preserve">The analysis reveals the following major emission hotspots:</w:t>
      </w:r>
    </w:p>
    <w:p>
      <w:pPr>
        <w:numPr>
          <w:ilvl w:val="0"/>
          <w:numId w:val="1012"/>
        </w:numPr>
        <w:pStyle w:val="Compact"/>
      </w:pPr>
      <w:r>
        <w:rPr>
          <w:bCs/>
          <w:b/>
        </w:rPr>
        <w:t xml:space="preserve">Material Acquisition &amp; Pre-processing (65.04% of total PCF):</w:t>
      </w:r>
      <w:r>
        <w:t xml:space="preserve"> </w:t>
      </w:r>
      <w:r>
        <w:t xml:space="preserve">This constitutes the largest portion of the footprint, primarily driven by high-impact materials such as Aluminum (6.0 kgCO2e), PCB (4.5 kgCO2e), and Lithium-ion Battery (5.0 kgCO2e). This highlights the critical need for material selection optimization, lightweighting, and increased recycled content.</w:t>
      </w:r>
    </w:p>
    <w:p>
      <w:pPr>
        <w:numPr>
          <w:ilvl w:val="0"/>
          <w:numId w:val="1012"/>
        </w:numPr>
        <w:pStyle w:val="Compact"/>
      </w:pPr>
      <w:r>
        <w:rPr>
          <w:bCs/>
          <w:b/>
        </w:rPr>
        <w:t xml:space="preserve">Use Phase (31.20% of total PCF):</w:t>
      </w:r>
      <w:r>
        <w:t xml:space="preserve"> </w:t>
      </w:r>
      <w:r>
        <w:t xml:space="preserve">Energy consumption during the product\'s 3-year lifespan significantly contributes to the footprint. Improving energy efficiency of the product is crucial.</w:t>
      </w:r>
    </w:p>
    <w:p>
      <w:pPr>
        <w:numPr>
          <w:ilvl w:val="0"/>
          <w:numId w:val="1012"/>
        </w:numPr>
        <w:pStyle w:val="Compact"/>
      </w:pPr>
      <w:r>
        <w:rPr>
          <w:bCs/>
          <w:b/>
        </w:rPr>
        <w:t xml:space="preserve">Production Energy (12.48% of total PCF):</w:t>
      </w:r>
      <w:r>
        <w:t xml:space="preserve"> </w:t>
      </w:r>
      <w:r>
        <w:t xml:space="preserve">While 60% renewable energy is used, the remaining grid electricity in China still represents a notable portion. Further increasing renewable energy sourcing or improving energy efficiency in production can reduce this impact.</w:t>
      </w:r>
    </w:p>
    <w:p>
      <w:pPr>
        <w:numPr>
          <w:ilvl w:val="0"/>
          <w:numId w:val="1012"/>
        </w:numPr>
        <w:pStyle w:val="Compact"/>
      </w:pPr>
      <w:r>
        <w:rPr>
          <w:bCs/>
          <w:b/>
        </w:rPr>
        <w:t xml:space="preserve">End-of-Life (Net Credit of -9.66%):</w:t>
      </w:r>
      <w:r>
        <w:t xml:space="preserve"> </w:t>
      </w:r>
      <w:r>
        <w:t xml:space="preserve">The robust recyclability and circular/take-back programs provide a significant environmental benefit, leading to a net negative emission for this stage. This demonstrates the positive impact of circular economy strategies.</w:t>
      </w:r>
    </w:p>
    <w:p>
      <w:pPr>
        <w:pStyle w:val="FirstParagraph"/>
      </w:pPr>
      <w:r>
        <w:t xml:space="preserve">The reliability of this PCF analysis is high due to the utilization of specific primary data where provided (BOM structure, energy usage/intensity, lifespan, recyclability, circular programs) and the application of recognized secondary emission factors from databases like Ecoinvent and DEFRA. However, the exact emission factors used for generic transport modes and certain material processes were based on representative industry averages. Further refinement could be achieved with more specific supplier-provided EFs for all components and actual energy mix data for the end-user\'s location.</w:t>
      </w:r>
    </w:p>
    <w:p>
      <w:r>
        <w:pict>
          <v:rect style="width:0;height:1.5pt" o:hralign="center" o:hrstd="t" o:hr="t"/>
        </w:pict>
      </w:r>
    </w:p>
    <w:bookmarkEnd w:id="42"/>
    <w:bookmarkEnd w:id="43"/>
    <w:bookmarkStart w:id="44" w:name="recommendations"/>
    <w:p>
      <w:pPr>
        <w:pStyle w:val="Heading2"/>
      </w:pPr>
      <w:r>
        <w:t xml:space="preserve">6. Recommendations</w:t>
      </w:r>
    </w:p>
    <w:p>
      <w:pPr>
        <w:pStyle w:val="FirstParagraph"/>
      </w:pPr>
      <w:r>
        <w:t xml:space="preserve">Based on the PCF analysis, the following recommendations are put forth for vzzltsjkkk to reduce the environmental impact of wqgnvodnxt:</w:t>
      </w:r>
    </w:p>
    <w:p>
      <w:pPr>
        <w:numPr>
          <w:ilvl w:val="0"/>
          <w:numId w:val="1013"/>
        </w:numPr>
        <w:pStyle w:val="Compact"/>
      </w:pPr>
      <w:r>
        <w:rPr>
          <w:bCs/>
          <w:b/>
        </w:rPr>
        <w:t xml:space="preserve">Material Optimization:</w:t>
      </w:r>
    </w:p>
    <w:p>
      <w:pPr>
        <w:numPr>
          <w:ilvl w:val="1"/>
          <w:numId w:val="1014"/>
        </w:numPr>
        <w:pStyle w:val="Compact"/>
      </w:pPr>
      <w:r>
        <w:t xml:space="preserve">Explore alternative lower-carbon materials for the Aluminum Casing and Lithium-ion Battery, or increase the recycled content percentage in these components.</w:t>
      </w:r>
    </w:p>
    <w:p>
      <w:pPr>
        <w:numPr>
          <w:ilvl w:val="1"/>
          <w:numId w:val="1014"/>
        </w:numPr>
        <w:pStyle w:val="Compact"/>
      </w:pPr>
      <w:r>
        <w:t xml:space="preserve">Engage with suppliers to obtain primary, verified emission factors for all BOM items to enhance accuracy.</w:t>
      </w:r>
    </w:p>
    <w:p>
      <w:pPr>
        <w:numPr>
          <w:ilvl w:val="0"/>
          <w:numId w:val="1013"/>
        </w:numPr>
        <w:pStyle w:val="Compact"/>
      </w:pPr>
      <w:r>
        <w:rPr>
          <w:bCs/>
          <w:b/>
        </w:rPr>
        <w:t xml:space="preserve">Energy Efficiency in Use:</w:t>
      </w:r>
    </w:p>
    <w:p>
      <w:pPr>
        <w:numPr>
          <w:ilvl w:val="1"/>
          <w:numId w:val="1015"/>
        </w:numPr>
        <w:pStyle w:val="Compact"/>
      </w:pPr>
      <w:r>
        <w:t xml:space="preserve">Invest in research and development to improve the energy efficiency of wqgnvodnxt during its use phase, reducing overall electricity consumption.</w:t>
      </w:r>
    </w:p>
    <w:p>
      <w:pPr>
        <w:numPr>
          <w:ilvl w:val="1"/>
          <w:numId w:val="1015"/>
        </w:numPr>
        <w:pStyle w:val="Compact"/>
      </w:pPr>
      <w:r>
        <w:t xml:space="preserve">Educate consumers on energy-saving usage patterns.</w:t>
      </w:r>
    </w:p>
    <w:p>
      <w:pPr>
        <w:numPr>
          <w:ilvl w:val="0"/>
          <w:numId w:val="1013"/>
        </w:numPr>
        <w:pStyle w:val="Compact"/>
      </w:pPr>
      <w:r>
        <w:rPr>
          <w:bCs/>
          <w:b/>
        </w:rPr>
        <w:t xml:space="preserve">Renewable Energy Expansion:</w:t>
      </w:r>
    </w:p>
    <w:p>
      <w:pPr>
        <w:numPr>
          <w:ilvl w:val="1"/>
          <w:numId w:val="1016"/>
        </w:numPr>
        <w:pStyle w:val="Compact"/>
      </w:pPr>
      <w:r>
        <w:t xml:space="preserve">Increase the percentage of renewable energy used in the production facility beyond the current</w:t>
      </w:r>
      <w:r>
        <w:t xml:space="preserve"> </w:t>
      </w:r>
      <w:r>
        <w:rPr>
          <w:rStyle w:val="VerbatimChar"/>
        </w:rPr>
        <w:t xml:space="preserve">xeelfekoks</w:t>
      </w:r>
      <w:r>
        <w:t xml:space="preserve"> </w:t>
      </w:r>
      <w:r>
        <w:t xml:space="preserve">(60%) to further reduce Scope 2 emissions.</w:t>
      </w:r>
    </w:p>
    <w:p>
      <w:pPr>
        <w:numPr>
          <w:ilvl w:val="1"/>
          <w:numId w:val="1016"/>
        </w:numPr>
        <w:pStyle w:val="Compact"/>
      </w:pPr>
      <w:r>
        <w:t xml:space="preserve">Investigate opportunities for virtual power purchase agreements (VPPAs) or direct renewable energy procurement.</w:t>
      </w:r>
    </w:p>
    <w:p>
      <w:pPr>
        <w:numPr>
          <w:ilvl w:val="0"/>
          <w:numId w:val="1013"/>
        </w:numPr>
        <w:pStyle w:val="Compact"/>
      </w:pPr>
      <w:r>
        <w:rPr>
          <w:bCs/>
          <w:b/>
        </w:rPr>
        <w:t xml:space="preserve">Supply Chain Engagement:</w:t>
      </w:r>
    </w:p>
    <w:p>
      <w:pPr>
        <w:numPr>
          <w:ilvl w:val="1"/>
          <w:numId w:val="1017"/>
        </w:numPr>
        <w:pStyle w:val="Compact"/>
      </w:pPr>
      <w:r>
        <w:t xml:space="preserve">Work with transport providers to optimize routes, consolidate shipments, and explore lower-emission transport modes (e.g., rail instead of road for longer European distances where feasible) for the</w:t>
      </w:r>
      <w:r>
        <w:t xml:space="preserve"> </w:t>
      </w:r>
      <w:r>
        <w:rPr>
          <w:rStyle w:val="VerbatimChar"/>
        </w:rPr>
        <w:t xml:space="preserve">plplhheqek</w:t>
      </w:r>
      <w:r>
        <w:t xml:space="preserve"> </w:t>
      </w:r>
      <w:r>
        <w:t xml:space="preserve">distance.</w:t>
      </w:r>
    </w:p>
    <w:p>
      <w:pPr>
        <w:numPr>
          <w:ilvl w:val="1"/>
          <w:numId w:val="1017"/>
        </w:numPr>
        <w:pStyle w:val="Compact"/>
      </w:pPr>
      <w:r>
        <w:t xml:space="preserve">Encourage last-mile delivery partners to transition to electric or alternative fuel vehicles for</w:t>
      </w:r>
      <w:r>
        <w:t xml:space="preserve"> </w:t>
      </w:r>
      <w:r>
        <w:rPr>
          <w:rStyle w:val="VerbatimChar"/>
        </w:rPr>
        <w:t xml:space="preserve">Delivery Type</w:t>
      </w:r>
      <w:r>
        <w:t xml:space="preserve">.</w:t>
      </w:r>
    </w:p>
    <w:p>
      <w:pPr>
        <w:numPr>
          <w:ilvl w:val="0"/>
          <w:numId w:val="1013"/>
        </w:numPr>
        <w:pStyle w:val="Compact"/>
      </w:pPr>
      <w:r>
        <w:rPr>
          <w:bCs/>
          <w:b/>
        </w:rPr>
        <w:t xml:space="preserve">Enhance Circularity:</w:t>
      </w:r>
    </w:p>
    <w:p>
      <w:pPr>
        <w:numPr>
          <w:ilvl w:val="1"/>
          <w:numId w:val="1018"/>
        </w:numPr>
        <w:pStyle w:val="Compact"/>
      </w:pPr>
      <w:r>
        <w:t xml:space="preserve">Continue to strengthen the</w:t>
      </w:r>
      <w:r>
        <w:t xml:space="preserve"> </w:t>
      </w:r>
      <w:r>
        <w:rPr>
          <w:rStyle w:val="VerbatimChar"/>
        </w:rPr>
        <w:t xml:space="preserve">qfpkopxnju</w:t>
      </w:r>
      <w:r>
        <w:t xml:space="preserve"> </w:t>
      </w:r>
      <w:r>
        <w:t xml:space="preserve">circular/take-back programs, potentially expanding their reach and scope to maximize material recovery and reuse.</w:t>
      </w:r>
    </w:p>
    <w:p>
      <w:pPr>
        <w:numPr>
          <w:ilvl w:val="1"/>
          <w:numId w:val="1018"/>
        </w:numPr>
        <w:pStyle w:val="Compact"/>
      </w:pPr>
      <w:r>
        <w:t xml:space="preserve">Aim for higher recyclability of product components beyond</w:t>
      </w:r>
      <w:r>
        <w:t xml:space="preserve"> </w:t>
      </w:r>
      <w:r>
        <w:rPr>
          <w:rStyle w:val="VerbatimChar"/>
        </w:rPr>
        <w:t xml:space="preserve">wylyytemsm</w:t>
      </w:r>
      <w:r>
        <w:t xml:space="preserve"> </w:t>
      </w:r>
      <w:r>
        <w:t xml:space="preserve">(85%) where technically and economically viable.</w:t>
      </w:r>
    </w:p>
    <w:p>
      <w:r>
        <w:pict>
          <v:rect style="width:0;height:1.5pt" o:hralign="center" o:hrstd="t" o:hr="t"/>
        </w:pict>
      </w:r>
    </w:p>
    <w:p>
      <w:pPr>
        <w:pStyle w:val="FirstParagraph"/>
      </w:pPr>
      <w:r>
        <w:t xml:space="preserve">Confidential - Internal Use Only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wqgnvodnxt</dc:title>
  <dc:creator/>
  <dc:description>High-detail Product Carbon Footprint (PCF) analysis for wqgnvodnxt by Senior Sustainability Consultant smxpzwmjft, adhering to GHG Protocol and 2026 LSR Update.</dc:description>
  <dc:language>en</dc:language>
  <cp:keywords/>
  <dcterms:created xsi:type="dcterms:W3CDTF">2026-05-30T20:13:36Z</dcterms:created>
  <dcterms:modified xsi:type="dcterms:W3CDTF">2026-05-30T20:13:36Z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