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wpzwzjiudo</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 Name:</w:t>
      </w:r>
      <w:r>
        <w:t xml:space="preserve"> </w:t>
      </w:r>
      <w:r>
        <w:t xml:space="preserve">wpzwzjiudo</w:t>
      </w:r>
    </w:p>
    <w:p>
      <w:pPr>
        <w:pStyle w:val="BodyText"/>
      </w:pPr>
      <w:r>
        <w:rPr>
          <w:bCs/>
          <w:b/>
        </w:rPr>
        <w:t xml:space="preserve">Company Name:</w:t>
      </w:r>
      <w:r>
        <w:t xml:space="preserve"> </w:t>
      </w:r>
      <w:r>
        <w:t xml:space="preserve">opyxgovzor</w:t>
      </w:r>
    </w:p>
    <w:p>
      <w:pPr>
        <w:pStyle w:val="BodyText"/>
      </w:pPr>
      <w:r>
        <w:rPr>
          <w:bCs/>
          <w:b/>
        </w:rPr>
        <w:t xml:space="preserve">Protocol Data (Accounting Standard):</w:t>
      </w:r>
      <w:r>
        <w:t xml:space="preserve"> </w:t>
      </w:r>
      <w:r>
        <w:t xml:space="preserve">GHG Protocol</w:t>
      </w:r>
    </w:p>
    <w:p>
      <w:pPr>
        <w:pStyle w:val="BodyText"/>
      </w:pPr>
      <w:r>
        <w:rPr>
          <w:bCs/>
          <w:b/>
        </w:rPr>
        <w:t xml:space="preserve">Senior Sustainability Consultant:</w:t>
      </w:r>
      <w:r>
        <w:t xml:space="preserve"> </w:t>
      </w:r>
      <w:r>
        <w:t xml:space="preserve">ltlldxkeps</w:t>
      </w:r>
    </w:p>
    <w:p>
      <w:pPr>
        <w:pStyle w:val="BodyText"/>
      </w:pPr>
      <w:r>
        <w:t xml:space="preserve">This report is generated based on available data and industry standards. While efforts have been made to ensure accuracy and comprehensive coverage, specific real-world conditions may vary.</w:t>
      </w:r>
    </w:p>
    <w:bookmarkEnd w:id="20"/>
    <w:bookmarkStart w:id="45" w:name="Xcf8f18225adf127cb7982fcfe684122fd7ca53a"/>
    <w:p>
      <w:pPr>
        <w:pStyle w:val="Heading1"/>
      </w:pPr>
      <w:r>
        <w:t xml:space="preserve">Product Carbon Footprint Analysis for wpzwzjiudo</w:t>
      </w:r>
    </w:p>
    <w:p>
      <w:pPr>
        <w:pStyle w:val="FirstParagraph"/>
      </w:pPr>
      <w:r>
        <w:t xml:space="preserve">Generated Date: May 17,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w:t>
      </w:r>
      <w:r>
        <w:t xml:space="preserve"> </w:t>
      </w:r>
      <w:r>
        <w:rPr>
          <w:bCs/>
          <w:b/>
        </w:rPr>
        <w:t xml:space="preserve">wpzwzjiudo</w:t>
      </w:r>
      <w:r>
        <w:t xml:space="preserve">, manufactured by</w:t>
      </w:r>
      <w:r>
        <w:t xml:space="preserve"> </w:t>
      </w:r>
      <w:r>
        <w:rPr>
          <w:bCs/>
          <w:b/>
        </w:rPr>
        <w:t xml:space="preserve">opyxgovzor</w:t>
      </w:r>
      <w:r>
        <w:t xml:space="preserve">. The analysis, conducted by Senior Sustainability Consultant</w:t>
      </w:r>
      <w:r>
        <w:t xml:space="preserve"> </w:t>
      </w:r>
      <w:r>
        <w:rPr>
          <w:bCs/>
          <w:b/>
        </w:rPr>
        <w:t xml:space="preserve">ltlldxkeps</w:t>
      </w:r>
      <w:r>
        <w:t xml:space="preserve">, adheres to the GHG Protocol standards, including the 2026 Land Sector and Removals (LSR) update and aims for at least 95% Scope 3 coverage. The total carbon footprint for one functional unit of wpzwzjiudo is calculated to be</w:t>
      </w:r>
      <w:r>
        <w:t xml:space="preserve"> </w:t>
      </w:r>
      <w:r>
        <w:rPr>
          <w:bCs/>
          <w:b/>
        </w:rPr>
        <w:t xml:space="preserve">81.86 kg CO2e</w:t>
      </w:r>
      <w:r>
        <w:t xml:space="preserve">. Key emission hotspots are identified in the use phase and raw material acquisition.</w:t>
      </w:r>
    </w:p>
    <w:p>
      <w:r>
        <w:pict>
          <v:rect style="width:0;height:1.5pt" o:hralign="center" o:hrstd="t" o:hr="t"/>
        </w:pict>
      </w:r>
    </w:p>
    <w:bookmarkEnd w:id="21"/>
    <w:bookmarkStart w:id="23" w:name="methodology-and-scope-definition"/>
    <w:p>
      <w:pPr>
        <w:pStyle w:val="Heading2"/>
      </w:pPr>
      <w:r>
        <w:t xml:space="preserve">1. Methodology and Scope Definition</w:t>
      </w:r>
    </w:p>
    <w:p>
      <w:pPr>
        <w:pStyle w:val="FirstParagraph"/>
      </w:pPr>
      <w:r>
        <w:t xml:space="preserve">The Product Carbon Footprint (PCF) analysis for wpzwzjiudo follows a comprehensive life cycle assessment approach based on the GHG Protocol Product Standard. The methodology is structured into five key steps:</w:t>
      </w:r>
    </w:p>
    <w:p>
      <w:pPr>
        <w:numPr>
          <w:ilvl w:val="0"/>
          <w:numId w:val="1001"/>
        </w:numPr>
        <w:pStyle w:val="Compact"/>
      </w:pPr>
      <w:r>
        <w:rPr>
          <w:bCs/>
          <w:b/>
        </w:rPr>
        <w:t xml:space="preserve">Define Scope:</w:t>
      </w:r>
    </w:p>
    <w:p>
      <w:pPr>
        <w:numPr>
          <w:ilvl w:val="1"/>
          <w:numId w:val="1002"/>
        </w:numPr>
        <w:pStyle w:val="Compact"/>
      </w:pPr>
      <w:r>
        <w:rPr>
          <w:bCs/>
          <w:b/>
        </w:rPr>
        <w:t xml:space="preserve">Functional Unit:</w:t>
      </w:r>
      <w:r>
        <w:t xml:space="preserve"> </w:t>
      </w:r>
      <w:r>
        <w:t xml:space="preserve">1.0 unit of wpzwzjiudo.</w:t>
      </w:r>
    </w:p>
    <w:p>
      <w:pPr>
        <w:numPr>
          <w:ilvl w:val="1"/>
          <w:numId w:val="1002"/>
        </w:numPr>
        <w:pStyle w:val="Compact"/>
      </w:pPr>
      <w:r>
        <w:rPr>
          <w:bCs/>
          <w:b/>
        </w:rPr>
        <w:t xml:space="preserve">System Boundary:</w:t>
      </w:r>
      <w:r>
        <w:t xml:space="preserve"> </w:t>
      </w:r>
      <w:r>
        <w:t xml:space="preserve">Cradle-to-grave, with a primary focus on \'factory_gate\' for production, extending to end-of-life.</w:t>
      </w:r>
    </w:p>
    <w:p>
      <w:pPr>
        <w:numPr>
          <w:ilvl w:val="1"/>
          <w:numId w:val="1002"/>
        </w:numPr>
        <w:pStyle w:val="Compact"/>
      </w:pPr>
      <w:r>
        <w:rPr>
          <w:bCs/>
          <w:b/>
        </w:rPr>
        <w:t xml:space="preserve">Geographic Scope:</w:t>
      </w:r>
      <w:r>
        <w:t xml:space="preserve"> </w:t>
      </w:r>
      <w:r>
        <w:t xml:space="preserve">Final Production Country: China, with a Supply Chain Focus on Europe.</w:t>
      </w:r>
    </w:p>
    <w:p>
      <w:pPr>
        <w:numPr>
          <w:ilvl w:val="1"/>
          <w:numId w:val="1002"/>
        </w:numPr>
        <w:pStyle w:val="Compact"/>
      </w:pPr>
      <w:r>
        <w:rPr>
          <w:bCs/>
          <w:b/>
        </w:rPr>
        <w:t xml:space="preserve">Accounting Standard:</w:t>
      </w:r>
      <w:r>
        <w:t xml:space="preserve"> </w:t>
      </w:r>
      <w:r>
        <w:t xml:space="preserve">GHG Protocol.</w:t>
      </w:r>
    </w:p>
    <w:p>
      <w:pPr>
        <w:numPr>
          <w:ilvl w:val="1"/>
          <w:numId w:val="1002"/>
        </w:numPr>
        <w:pStyle w:val="Compact"/>
      </w:pPr>
      <w:r>
        <w:rPr>
          <w:bCs/>
          <w:b/>
        </w:rPr>
        <w:t xml:space="preserve">Allocation:</w:t>
      </w:r>
      <w:r>
        <w:t xml:space="preserve"> </w:t>
      </w:r>
      <w:r>
        <w:t xml:space="preserve">Emissions are allocated directly to the functional unit based on mass and energy consumption where quantifiable.</w:t>
      </w:r>
    </w:p>
    <w:p>
      <w:pPr>
        <w:numPr>
          <w:ilvl w:val="0"/>
          <w:numId w:val="1001"/>
        </w:numPr>
        <w:pStyle w:val="Compact"/>
      </w:pPr>
      <w:r>
        <w:rPr>
          <w:bCs/>
          <w:b/>
        </w:rPr>
        <w:t xml:space="preserve">Map Lifecycle (LCI Inventory Stages):</w:t>
      </w:r>
      <w:r>
        <w:t xml:space="preserve"> </w:t>
      </w:r>
      <w:r>
        <w:t xml:space="preserve">Identification of all relevant life cycle stages and associated inputs/outputs.</w:t>
      </w:r>
    </w:p>
    <w:p>
      <w:pPr>
        <w:numPr>
          <w:ilvl w:val="0"/>
          <w:numId w:val="1001"/>
        </w:numPr>
        <w:pStyle w:val="Compact"/>
      </w:pPr>
      <w:r>
        <w:rPr>
          <w:bCs/>
          <w:b/>
        </w:rPr>
        <w:t xml:space="preserve">Collect Data (Primary/Secondary Data Points):</w:t>
      </w:r>
      <w:r>
        <w:t xml:space="preserve"> </w:t>
      </w:r>
      <w:r>
        <w:t xml:space="preserve">Gathering quantitative data for each stage, prioritizing primary data where available and using secondary industry-standard emission factors otherwise.</w:t>
      </w:r>
    </w:p>
    <w:p>
      <w:pPr>
        <w:numPr>
          <w:ilvl w:val="0"/>
          <w:numId w:val="1001"/>
        </w:numPr>
        <w:pStyle w:val="Compact"/>
      </w:pPr>
      <w:r>
        <w:rPr>
          <w:bCs/>
          <w:b/>
        </w:rPr>
        <w:t xml:space="preserve">Calculate Emissions:</w:t>
      </w:r>
      <w:r>
        <w:t xml:space="preserve"> </w:t>
      </w:r>
      <w:r>
        <w:t xml:space="preserve">Quantifying emissions using the formula: Activity Data × Emission Factor = CO2e.</w:t>
      </w:r>
    </w:p>
    <w:p>
      <w:pPr>
        <w:numPr>
          <w:ilvl w:val="0"/>
          <w:numId w:val="1001"/>
        </w:numPr>
        <w:pStyle w:val="Compact"/>
      </w:pPr>
      <w:r>
        <w:rPr>
          <w:bCs/>
          <w:b/>
        </w:rPr>
        <w:t xml:space="preserve">Review &amp; Report:</w:t>
      </w:r>
      <w:r>
        <w:t xml:space="preserve"> </w:t>
      </w:r>
      <w:r>
        <w:t xml:space="preserve">Identifying emission hotspots, assessing data reliability, and providing reduction recommendations.</w:t>
      </w:r>
    </w:p>
    <w:bookmarkStart w:id="22" w:name="X25ab271e0b973df754491ec5ddcb2d245f47eaf"/>
    <w:p>
      <w:pPr>
        <w:pStyle w:val="Heading3"/>
      </w:pPr>
      <w:r>
        <w:t xml:space="preserve">GHG Protocol Adherence and 2026 LSR Update</w:t>
      </w:r>
    </w:p>
    <w:p>
      <w:pPr>
        <w:pStyle w:val="FirstParagraph"/>
      </w:pPr>
      <w:r>
        <w:t xml:space="preserve">Emissions are categorized into Scope 1 (direct emissions from owned or controlled sources), Scope 2 (indirect emissions from the generation of purchased energy), and Scope 3 (all other indirect emissions that occur in a company\'s value chain). This report incorporates the 2026 Land Sector and Removals (LSR) Standard, acknowledging the importance of land use and carbon removals. While specific land use change data for raw material sourcing was not provided for detailed quantification in this analysis, its principles are acknowledged for future detailed assessments. We ensure at least 95% coverage for Scope 3 reporting, as per 2026 requirements, by detailing upstream and downstream value chain activities.</w:t>
      </w:r>
    </w:p>
    <w:p>
      <w:r>
        <w:pict>
          <v:rect style="width:0;height:1.5pt" o:hralign="center" o:hrstd="t" o:hr="t"/>
        </w:pict>
      </w:r>
    </w:p>
    <w:bookmarkEnd w:id="22"/>
    <w:bookmarkEnd w:id="23"/>
    <w:bookmarkStart w:id="29" w:name="lifecycle-mapping-inventory-lci"/>
    <w:p>
      <w:pPr>
        <w:pStyle w:val="Heading2"/>
      </w:pPr>
      <w:r>
        <w:t xml:space="preserve">2. Lifecycle Mapping &amp; Inventory (LCI)</w:t>
      </w:r>
    </w:p>
    <w:p>
      <w:pPr>
        <w:pStyle w:val="FirstParagraph"/>
      </w:pPr>
      <w:r>
        <w:t xml:space="preserve">This section details the inputs and processes across the product\'s life cycle, providing a detailed breakdown of materials and energy.</w:t>
      </w:r>
    </w:p>
    <w:bookmarkStart w:id="24" w:name="X03009c137a43313aa2402a234267084e196d2e6"/>
    <w:p>
      <w:pPr>
        <w:pStyle w:val="Heading3"/>
      </w:pPr>
      <w:r>
        <w:t xml:space="preserve">Detailed Bill of Materials (BOM) - Upstream Emissions (Scope 3, Category 1)</w:t>
      </w:r>
    </w:p>
    <w:p>
      <w:pPr>
        <w:pStyle w:val="FirstParagraph"/>
      </w:pPr>
      <w:r>
        <w:t xml:space="preserve">The following table presents the detailed Bill of Materials (BOM) for wpzwzjiudo, including quantities, units, emission factors, and the calculated total carbon for each component as provided.</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MAT-001</w:t>
            </w:r>
          </w:p>
        </w:tc>
        <w:tc>
          <w:tcPr/>
          <w:p>
            <w:pPr>
              <w:pStyle w:val="Compact"/>
              <w:jc w:val="left"/>
            </w:pPr>
            <w:r>
              <w:t xml:space="preserve">Aluminum Alloy</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2.5</w:t>
            </w:r>
          </w:p>
        </w:tc>
        <w:tc>
          <w:tcPr/>
          <w:p>
            <w:pPr>
              <w:pStyle w:val="Compact"/>
              <w:jc w:val="left"/>
            </w:pPr>
            <w:r>
              <w:t xml:space="preserve">kg</w:t>
            </w:r>
          </w:p>
        </w:tc>
        <w:tc>
          <w:tcPr/>
          <w:p>
            <w:pPr>
              <w:pStyle w:val="Compact"/>
              <w:jc w:val="left"/>
            </w:pPr>
            <w:r>
              <w:t xml:space="preserve">6.0</w:t>
            </w:r>
          </w:p>
        </w:tc>
        <w:tc>
          <w:tcPr/>
          <w:p>
            <w:pPr>
              <w:pStyle w:val="Compact"/>
              <w:jc w:val="left"/>
            </w:pPr>
            <w:r>
              <w:t xml:space="preserve">15.0</w:t>
            </w:r>
          </w:p>
        </w:tc>
      </w:tr>
      <w:tr>
        <w:tc>
          <w:tcPr/>
          <w:p>
            <w:pPr>
              <w:pStyle w:val="Compact"/>
              <w:jc w:val="left"/>
            </w:pPr>
            <w:r>
              <w:t xml:space="preserve">MAT-002</w:t>
            </w:r>
          </w:p>
        </w:tc>
        <w:tc>
          <w:tcPr/>
          <w:p>
            <w:pPr>
              <w:pStyle w:val="Compact"/>
              <w:jc w:val="left"/>
            </w:pPr>
            <w:r>
              <w:t xml:space="preserve">ABS Plastic</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1.2</w:t>
            </w:r>
          </w:p>
        </w:tc>
        <w:tc>
          <w:tcPr/>
          <w:p>
            <w:pPr>
              <w:pStyle w:val="Compact"/>
              <w:jc w:val="left"/>
            </w:pPr>
            <w:r>
              <w:t xml:space="preserve">kg</w:t>
            </w:r>
          </w:p>
        </w:tc>
        <w:tc>
          <w:tcPr/>
          <w:p>
            <w:pPr>
              <w:pStyle w:val="Compact"/>
              <w:jc w:val="left"/>
            </w:pPr>
            <w:r>
              <w:t xml:space="preserve">3.5</w:t>
            </w:r>
          </w:p>
        </w:tc>
        <w:tc>
          <w:tcPr/>
          <w:p>
            <w:pPr>
              <w:pStyle w:val="Compact"/>
              <w:jc w:val="left"/>
            </w:pPr>
            <w:r>
              <w:t xml:space="preserve">4.2</w:t>
            </w:r>
          </w:p>
        </w:tc>
      </w:tr>
      <w:tr>
        <w:tc>
          <w:tcPr/>
          <w:p>
            <w:pPr>
              <w:pStyle w:val="Compact"/>
              <w:jc w:val="left"/>
            </w:pPr>
            <w:r>
              <w:t xml:space="preserve">MAT-003</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0.8</w:t>
            </w:r>
          </w:p>
        </w:tc>
        <w:tc>
          <w:tcPr/>
          <w:p>
            <w:pPr>
              <w:pStyle w:val="Compact"/>
              <w:jc w:val="left"/>
            </w:pPr>
            <w:r>
              <w:t xml:space="preserve">kg</w:t>
            </w:r>
          </w:p>
        </w:tc>
        <w:tc>
          <w:tcPr/>
          <w:p>
            <w:pPr>
              <w:pStyle w:val="Compact"/>
              <w:jc w:val="left"/>
            </w:pPr>
            <w:r>
              <w:t xml:space="preserve">4.0</w:t>
            </w:r>
          </w:p>
        </w:tc>
        <w:tc>
          <w:tcPr/>
          <w:p>
            <w:pPr>
              <w:pStyle w:val="Compact"/>
              <w:jc w:val="left"/>
            </w:pPr>
            <w:r>
              <w:t xml:space="preserve">3.2</w:t>
            </w:r>
          </w:p>
        </w:tc>
      </w:tr>
      <w:tr>
        <w:tc>
          <w:tcPr/>
          <w:p>
            <w:pPr>
              <w:pStyle w:val="Compact"/>
              <w:jc w:val="left"/>
            </w:pPr>
            <w:r>
              <w:t xml:space="preserve">MAT-004</w:t>
            </w:r>
          </w:p>
        </w:tc>
        <w:tc>
          <w:tcPr/>
          <w:p>
            <w:pPr>
              <w:pStyle w:val="Compact"/>
              <w:jc w:val="left"/>
            </w:pPr>
            <w:r>
              <w:t xml:space="preserve">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20.0</w:t>
            </w:r>
          </w:p>
        </w:tc>
        <w:tc>
          <w:tcPr/>
          <w:p>
            <w:pPr>
              <w:pStyle w:val="Compact"/>
              <w:jc w:val="left"/>
            </w:pPr>
            <w:r>
              <w:t xml:space="preserve">2.0</w:t>
            </w:r>
          </w:p>
        </w:tc>
      </w:tr>
      <w:tr>
        <w:tc>
          <w:tcPr/>
          <w:p>
            <w:pPr>
              <w:pStyle w:val="Compact"/>
              <w:jc w:val="left"/>
            </w:pPr>
            <w:r>
              <w:t xml:space="preserve">MAT-005</w:t>
            </w:r>
          </w:p>
        </w:tc>
        <w:tc>
          <w:tcPr/>
          <w:p>
            <w:pPr>
              <w:pStyle w:val="Compact"/>
              <w:jc w:val="left"/>
            </w:pPr>
            <w:r>
              <w:t xml:space="preserve">Lithium-ion Battery</w:t>
            </w:r>
          </w:p>
        </w:tc>
        <w:tc>
          <w:tcPr/>
          <w:p>
            <w:pPr>
              <w:pStyle w:val="Compact"/>
              <w:jc w:val="left"/>
            </w:pPr>
            <w:r>
              <w:t xml:space="preserve">Energy Storage</w:t>
            </w:r>
          </w:p>
        </w:tc>
        <w:tc>
          <w:tcPr/>
          <w:p>
            <w:pPr>
              <w:pStyle w:val="Compact"/>
              <w:jc w:val="left"/>
            </w:pPr>
            <w:r>
              <w:t xml:space="preserve">Manufacturing</w:t>
            </w:r>
          </w:p>
        </w:tc>
        <w:tc>
          <w:tcPr/>
          <w:p>
            <w:pPr>
              <w:pStyle w:val="Compact"/>
              <w:jc w:val="left"/>
            </w:pPr>
            <w:r>
              <w:t xml:space="preserve">0.2</w:t>
            </w:r>
          </w:p>
        </w:tc>
        <w:tc>
          <w:tcPr/>
          <w:p>
            <w:pPr>
              <w:pStyle w:val="Compact"/>
              <w:jc w:val="left"/>
            </w:pPr>
            <w:r>
              <w:t xml:space="preserve">unit</w:t>
            </w:r>
          </w:p>
        </w:tc>
        <w:tc>
          <w:tcPr/>
          <w:p>
            <w:pPr>
              <w:pStyle w:val="Compact"/>
              <w:jc w:val="left"/>
            </w:pPr>
            <w:r>
              <w:t xml:space="preserve">25.0</w:t>
            </w:r>
          </w:p>
        </w:tc>
        <w:tc>
          <w:tcPr/>
          <w:p>
            <w:pPr>
              <w:pStyle w:val="Compact"/>
              <w:jc w:val="left"/>
            </w:pPr>
            <w:r>
              <w:t xml:space="preserve">5.0</w:t>
            </w:r>
          </w:p>
        </w:tc>
      </w:tr>
      <w:tr>
        <w:tc>
          <w:tcPr>
            <w:gridSpan w:val="7"/>
          </w:tcPr>
          <w:p>
            <w:pPr>
              <w:pStyle w:val="Compact"/>
              <w:jc w:val="left"/>
            </w:pPr>
            <w:r>
              <w:t xml:space="preserve">Total Material Emissions (Scope 3, Category 1)</w:t>
            </w:r>
          </w:p>
        </w:tc>
        <w:tc>
          <w:tcPr/>
          <w:p>
            <w:pPr>
              <w:pStyle w:val="Compact"/>
              <w:jc w:val="left"/>
            </w:pPr>
            <w:r>
              <w:t xml:space="preserve">29.40</w:t>
            </w:r>
          </w:p>
        </w:tc>
      </w:tr>
    </w:tbl>
    <w:bookmarkEnd w:id="24"/>
    <w:bookmarkStart w:id="25" w:name="energy-inputs-for-production-scope-2"/>
    <w:p>
      <w:pPr>
        <w:pStyle w:val="Heading3"/>
      </w:pPr>
      <w:r>
        <w:t xml:space="preserve">Energy Inputs for Production (Scope 2)</w:t>
      </w:r>
    </w:p>
    <w:p>
      <w:pPr>
        <w:numPr>
          <w:ilvl w:val="0"/>
          <w:numId w:val="1003"/>
        </w:numPr>
        <w:pStyle w:val="Compact"/>
      </w:pPr>
      <w:r>
        <w:rPr>
          <w:bCs/>
          <w:b/>
        </w:rPr>
        <w:t xml:space="preserve">Energy Intensity (kWh/unit):</w:t>
      </w:r>
      <w:r>
        <w:t xml:space="preserve"> </w:t>
      </w:r>
      <w:r>
        <w:t xml:space="preserve">15 kWh/unit</w:t>
      </w:r>
    </w:p>
    <w:p>
      <w:pPr>
        <w:numPr>
          <w:ilvl w:val="0"/>
          <w:numId w:val="1003"/>
        </w:numPr>
        <w:pStyle w:val="Compact"/>
      </w:pPr>
      <w:r>
        <w:rPr>
          <w:bCs/>
          <w:b/>
        </w:rPr>
        <w:t xml:space="preserve">Renewable Energy Usage:</w:t>
      </w:r>
      <w:r>
        <w:t xml:space="preserve"> </w:t>
      </w:r>
      <w:r>
        <w:t xml:space="preserve">70%</w:t>
      </w:r>
    </w:p>
    <w:p>
      <w:pPr>
        <w:numPr>
          <w:ilvl w:val="0"/>
          <w:numId w:val="1003"/>
        </w:numPr>
        <w:pStyle w:val="Compact"/>
      </w:pPr>
      <w:r>
        <w:rPr>
          <w:bCs/>
          <w:b/>
        </w:rPr>
        <w:t xml:space="preserve">Non-renewable Electricity Consumption:</w:t>
      </w:r>
      <w:r>
        <w:t xml:space="preserve"> </w:t>
      </w:r>
      <w:r>
        <w:t xml:space="preserve">15 kWh/unit * (1 - 0.70) = 4.5 kWh/unit</w:t>
      </w:r>
    </w:p>
    <w:bookmarkEnd w:id="25"/>
    <w:bookmarkStart w:id="26" w:name="logistics-data---transport"/>
    <w:p>
      <w:pPr>
        <w:pStyle w:val="Heading3"/>
      </w:pPr>
      <w:r>
        <w:t xml:space="preserve">Logistics Data - Transport</w:t>
      </w:r>
    </w:p>
    <w:p>
      <w:pPr>
        <w:numPr>
          <w:ilvl w:val="0"/>
          <w:numId w:val="1004"/>
        </w:numPr>
        <w:pStyle w:val="Compact"/>
      </w:pPr>
      <w:r>
        <w:rPr>
          <w:bCs/>
          <w:b/>
        </w:rPr>
        <w:t xml:space="preserve">Transport Mode (Finished Product):</w:t>
      </w:r>
      <w:r>
        <w:t xml:space="preserve"> </w:t>
      </w:r>
      <w:r>
        <w:t xml:space="preserve">Select Mode (assumed Road Freight - Heavy Truck)</w:t>
      </w:r>
    </w:p>
    <w:p>
      <w:pPr>
        <w:numPr>
          <w:ilvl w:val="0"/>
          <w:numId w:val="1004"/>
        </w:numPr>
        <w:pStyle w:val="Compact"/>
      </w:pPr>
      <w:r>
        <w:rPr>
          <w:bCs/>
          <w:b/>
        </w:rPr>
        <w:t xml:space="preserve">Transport Distance (Factory to Distribution/Market):</w:t>
      </w:r>
      <w:r>
        <w:t xml:space="preserve"> </w:t>
      </w:r>
      <w:r>
        <w:t xml:space="preserve">nuotmehsgf (1500 km)</w:t>
      </w:r>
    </w:p>
    <w:p>
      <w:pPr>
        <w:numPr>
          <w:ilvl w:val="0"/>
          <w:numId w:val="1004"/>
        </w:numPr>
        <w:pStyle w:val="Compact"/>
      </w:pPr>
      <w:r>
        <w:rPr>
          <w:bCs/>
          <w:b/>
        </w:rPr>
        <w:t xml:space="preserve">Last-Mile Delivery Channel:</w:t>
      </w:r>
      <w:r>
        <w:t xml:space="preserve"> </w:t>
      </w:r>
      <w:r>
        <w:t xml:space="preserve">Delivery Type (assumed Parcel Van)</w:t>
      </w:r>
    </w:p>
    <w:p>
      <w:pPr>
        <w:numPr>
          <w:ilvl w:val="0"/>
          <w:numId w:val="1004"/>
        </w:numPr>
        <w:pStyle w:val="Compact"/>
      </w:pPr>
      <w:r>
        <w:rPr>
          <w:bCs/>
          <w:b/>
        </w:rPr>
        <w:t xml:space="preserve">Last-Mile Delivery Distance (Assumed):</w:t>
      </w:r>
      <w:r>
        <w:t xml:space="preserve"> </w:t>
      </w:r>
      <w:r>
        <w:t xml:space="preserve">50 km (per unit)</w:t>
      </w:r>
    </w:p>
    <w:bookmarkEnd w:id="26"/>
    <w:bookmarkStart w:id="27" w:name="use-phase-data"/>
    <w:p>
      <w:pPr>
        <w:pStyle w:val="Heading3"/>
      </w:pPr>
      <w:r>
        <w:t xml:space="preserve">Use Phase Data</w:t>
      </w:r>
    </w:p>
    <w:p>
      <w:pPr>
        <w:numPr>
          <w:ilvl w:val="0"/>
          <w:numId w:val="1005"/>
        </w:numPr>
        <w:pStyle w:val="Compact"/>
      </w:pPr>
      <w:r>
        <w:rPr>
          <w:bCs/>
          <w:b/>
        </w:rPr>
        <w:t xml:space="preserve">Product Lifespan:</w:t>
      </w:r>
      <w:r>
        <w:t xml:space="preserve"> </w:t>
      </w:r>
      <w:r>
        <w:t xml:space="preserve">vzjjkerhpl (5 years)</w:t>
      </w:r>
    </w:p>
    <w:p>
      <w:pPr>
        <w:numPr>
          <w:ilvl w:val="0"/>
          <w:numId w:val="1005"/>
        </w:numPr>
        <w:pStyle w:val="Compact"/>
      </w:pPr>
      <w:r>
        <w:rPr>
          <w:bCs/>
          <w:b/>
        </w:rPr>
        <w:t xml:space="preserve">Energy Consumption in Use:</w:t>
      </w:r>
      <w:r>
        <w:t xml:space="preserve"> </w:t>
      </w:r>
      <w:r>
        <w:t xml:space="preserve">dyfgmkridw (20 kWh/year)</w:t>
      </w:r>
    </w:p>
    <w:p>
      <w:pPr>
        <w:numPr>
          <w:ilvl w:val="0"/>
          <w:numId w:val="1005"/>
        </w:numPr>
        <w:pStyle w:val="Compact"/>
      </w:pPr>
      <w:r>
        <w:rPr>
          <w:bCs/>
          <w:b/>
        </w:rPr>
        <w:t xml:space="preserve">Total Energy Consumption over Lifespan:</w:t>
      </w:r>
      <w:r>
        <w:t xml:space="preserve"> </w:t>
      </w:r>
      <w:r>
        <w:t xml:space="preserve">5 years * 20 kWh/year = 100 kWh</w:t>
      </w:r>
    </w:p>
    <w:bookmarkEnd w:id="27"/>
    <w:bookmarkStart w:id="28" w:name="end-of-life-eol-scenarios"/>
    <w:p>
      <w:pPr>
        <w:pStyle w:val="Heading3"/>
      </w:pPr>
      <w:r>
        <w:t xml:space="preserve">End-of-Life (EoL) Scenarios</w:t>
      </w:r>
    </w:p>
    <w:p>
      <w:pPr>
        <w:numPr>
          <w:ilvl w:val="0"/>
          <w:numId w:val="1006"/>
        </w:numPr>
        <w:pStyle w:val="Compact"/>
      </w:pPr>
      <w:r>
        <w:rPr>
          <w:bCs/>
          <w:b/>
        </w:rPr>
        <w:t xml:space="preserve">Recyclability Percentage:</w:t>
      </w:r>
      <w:r>
        <w:t xml:space="preserve"> </w:t>
      </w:r>
      <w:r>
        <w:t xml:space="preserve">wllytvjjpx (80%)</w:t>
      </w:r>
    </w:p>
    <w:p>
      <w:pPr>
        <w:numPr>
          <w:ilvl w:val="0"/>
          <w:numId w:val="1006"/>
        </w:numPr>
        <w:pStyle w:val="Compact"/>
      </w:pPr>
      <w:r>
        <w:rPr>
          <w:bCs/>
          <w:b/>
        </w:rPr>
        <w:t xml:space="preserve">Circular/Take-back Programs:</w:t>
      </w:r>
      <w:r>
        <w:t xml:space="preserve"> </w:t>
      </w:r>
      <w:r>
        <w:t xml:space="preserve">vslgpjvetf (Advanced take-back and refurbishment program)</w:t>
      </w:r>
    </w:p>
    <w:p>
      <w:r>
        <w:pict>
          <v:rect style="width:0;height:1.5pt" o:hralign="center" o:hrstd="t" o:hr="t"/>
        </w:pict>
      </w:r>
    </w:p>
    <w:bookmarkEnd w:id="28"/>
    <w:bookmarkEnd w:id="29"/>
    <w:bookmarkStart w:id="30" w:name="data-collection-summary"/>
    <w:p>
      <w:pPr>
        <w:pStyle w:val="Heading2"/>
      </w:pPr>
      <w:r>
        <w:t xml:space="preserve">3. Data Collection Summary</w:t>
      </w:r>
    </w:p>
    <w:p>
      <w:pPr>
        <w:pStyle w:val="FirstParagraph"/>
      </w:pPr>
      <w:r>
        <w:t xml:space="preserve">The data collection process involved leveraging provided primary data for the Bill of Materials, energy consumption, and product lifespan. Secondary data, including industry-standard emission factors, were sourced from reputable databases such as those referenced in DEFRA and Ecoinvent, or publicly available governmental reports, to ensure robust and credible calculations. Where specific factors for the exact modes or regions were not directly available, representative and conservative proxies from reputable sources were used and clearly stated.</w:t>
      </w:r>
    </w:p>
    <w:p>
      <w:pPr>
        <w:numPr>
          <w:ilvl w:val="0"/>
          <w:numId w:val="1007"/>
        </w:numPr>
        <w:pStyle w:val="Compact"/>
      </w:pPr>
      <w:r>
        <w:rPr>
          <w:bCs/>
          <w:b/>
        </w:rPr>
        <w:t xml:space="preserve">China Grid Emission Factor (2023 National Average):</w:t>
      </w:r>
      <w:r>
        <w:t xml:space="preserve"> </w:t>
      </w:r>
      <w:r>
        <w:t xml:space="preserve">0.6205 kg CO2e/kWh</w:t>
      </w:r>
    </w:p>
    <w:p>
      <w:pPr>
        <w:numPr>
          <w:ilvl w:val="0"/>
          <w:numId w:val="1007"/>
        </w:numPr>
        <w:pStyle w:val="Compact"/>
      </w:pPr>
      <w:r>
        <w:rPr>
          <w:bCs/>
          <w:b/>
        </w:rPr>
        <w:t xml:space="preserve">Road Freight Emission Factor (HGV, Europe):</w:t>
      </w:r>
      <w:r>
        <w:t xml:space="preserve"> </w:t>
      </w:r>
      <w:r>
        <w:t xml:space="preserve">0.0565 kg CO2e/tkm (average for long-haul)</w:t>
      </w:r>
    </w:p>
    <w:p>
      <w:pPr>
        <w:numPr>
          <w:ilvl w:val="0"/>
          <w:numId w:val="1007"/>
        </w:numPr>
        <w:pStyle w:val="Compact"/>
      </w:pPr>
      <w:r>
        <w:rPr>
          <w:bCs/>
          <w:b/>
        </w:rPr>
        <w:t xml:space="preserve">Last-Mile Delivery Emission Factor (Average Van, UK/Europe):</w:t>
      </w:r>
      <w:r>
        <w:t xml:space="preserve"> </w:t>
      </w:r>
      <w:r>
        <w:t xml:space="preserve">0.24934 kg CO2e/km</w:t>
      </w:r>
    </w:p>
    <w:p>
      <w:pPr>
        <w:numPr>
          <w:ilvl w:val="0"/>
          <w:numId w:val="1007"/>
        </w:numPr>
        <w:pStyle w:val="Compact"/>
      </w:pPr>
      <w:r>
        <w:rPr>
          <w:bCs/>
          <w:b/>
        </w:rPr>
        <w:t xml:space="preserve">Global Average Grid Emission Factor (for Use Phase):</w:t>
      </w:r>
      <w:r>
        <w:t xml:space="preserve"> </w:t>
      </w:r>
      <w:r>
        <w:t xml:space="preserve">0.367 kg CO2e/kWh (representative average, e.g., US average)</w:t>
      </w:r>
    </w:p>
    <w:p>
      <w:pPr>
        <w:numPr>
          <w:ilvl w:val="0"/>
          <w:numId w:val="1007"/>
        </w:numPr>
        <w:pStyle w:val="Compact"/>
      </w:pPr>
      <w:r>
        <w:rPr>
          <w:bCs/>
          <w:b/>
        </w:rPr>
        <w:t xml:space="preserve">End-of-Life Landfill Emission Factor (Mixed Waste):</w:t>
      </w:r>
      <w:r>
        <w:t xml:space="preserve"> </w:t>
      </w:r>
      <w:r>
        <w:t xml:space="preserve">0.497 kg CO2e/kg</w:t>
      </w:r>
    </w:p>
    <w:p>
      <w:r>
        <w:pict>
          <v:rect style="width:0;height:1.5pt" o:hralign="center" o:hrstd="t" o:hr="t"/>
        </w:pict>
      </w:r>
    </w:p>
    <w:bookmarkEnd w:id="30"/>
    <w:bookmarkStart w:id="40" w:name="X439a6e6dcb43c636bf515ffaf3f59bce0bd6490"/>
    <w:p>
      <w:pPr>
        <w:pStyle w:val="Heading2"/>
      </w:pPr>
      <w:r>
        <w:t xml:space="preserve">4. Emission Calculation (Activity × Emission Factor = CO2e)</w:t>
      </w:r>
    </w:p>
    <w:p>
      <w:pPr>
        <w:pStyle w:val="FirstParagraph"/>
      </w:pPr>
      <w:r>
        <w:t xml:space="preserve">Emissions are calculated for each life cycle stage and categorized according to the GHG Protocol.</w:t>
      </w:r>
    </w:p>
    <w:bookmarkStart w:id="31" w:name="scope-1-direct-emissions"/>
    <w:p>
      <w:pPr>
        <w:pStyle w:val="Heading3"/>
      </w:pPr>
      <w:r>
        <w:t xml:space="preserve">Scope 1: Direct Emissions</w:t>
      </w:r>
    </w:p>
    <w:p>
      <w:pPr>
        <w:pStyle w:val="FirstParagraph"/>
      </w:pPr>
      <w:r>
        <w:t xml:space="preserve">Based on the provided parameters and the \'factory_gate\' system boundary, significant Scope 1 emissions (e.g., from direct fuel combustion by opyxgovzor\'s owned or controlled vehicles or facilities) are not explicitly detailed. This analysis assumes that the primary direct emissions associated with manufacturing within the \'factory_gate\' boundary are captured within purchased energy (Scope 2) and upstream material production (Scope 3). Should opyxgovzor operate direct combustion sources on-site for manufacturing, further data would be required to quantify these.</w:t>
      </w:r>
    </w:p>
    <w:bookmarkEnd w:id="31"/>
    <w:bookmarkStart w:id="32" w:name="scope-2-purchased-energy-emissions"/>
    <w:p>
      <w:pPr>
        <w:pStyle w:val="Heading3"/>
      </w:pPr>
      <w:r>
        <w:t xml:space="preserve">Scope 2: Purchased Energy Emissions</w:t>
      </w:r>
    </w:p>
    <w:p>
      <w:pPr>
        <w:pStyle w:val="FirstParagraph"/>
      </w:pPr>
      <w:r>
        <w:t xml:space="preserve">Emissions from purchased electricity for the manufacturing of wpzwzjiudo in China.</w:t>
      </w:r>
    </w:p>
    <w:p>
      <w:pPr>
        <w:numPr>
          <w:ilvl w:val="0"/>
          <w:numId w:val="1008"/>
        </w:numPr>
        <w:pStyle w:val="Compact"/>
      </w:pPr>
      <w:r>
        <w:t xml:space="preserve">Non-renewable electricity consumed: 4.5 kWh/unit</w:t>
      </w:r>
    </w:p>
    <w:p>
      <w:pPr>
        <w:numPr>
          <w:ilvl w:val="0"/>
          <w:numId w:val="1008"/>
        </w:numPr>
        <w:pStyle w:val="Compact"/>
      </w:pPr>
      <w:r>
        <w:t xml:space="preserve">China Grid Emission Factor: 0.6205 kg CO2e/kWh</w:t>
      </w:r>
    </w:p>
    <w:p>
      <w:pPr>
        <w:numPr>
          <w:ilvl w:val="0"/>
          <w:numId w:val="1008"/>
        </w:numPr>
        <w:pStyle w:val="Compact"/>
      </w:pPr>
      <w:r>
        <w:rPr>
          <w:bCs/>
          <w:b/>
        </w:rPr>
        <w:t xml:space="preserve">Total Scope 2 Emissions:</w:t>
      </w:r>
      <w:r>
        <w:t xml:space="preserve"> </w:t>
      </w:r>
      <w:r>
        <w:t xml:space="preserve">4.5 kWh/unit * 0.6205 kg CO2e/kWh =</w:t>
      </w:r>
      <w:r>
        <w:t xml:space="preserve"> </w:t>
      </w:r>
      <w:r>
        <w:rPr>
          <w:bCs/>
          <w:b/>
        </w:rPr>
        <w:t xml:space="preserve">2.79 kg CO2e</w:t>
      </w:r>
    </w:p>
    <w:bookmarkEnd w:id="32"/>
    <w:bookmarkStart w:id="38" w:name="scope-3-value-chain-emissions"/>
    <w:p>
      <w:pPr>
        <w:pStyle w:val="Heading3"/>
      </w:pPr>
      <w:r>
        <w:t xml:space="preserve">Scope 3: Value Chain Emissions</w:t>
      </w:r>
    </w:p>
    <w:p>
      <w:pPr>
        <w:pStyle w:val="FirstParagraph"/>
      </w:pPr>
      <w:r>
        <w:t xml:space="preserve">Scope 3 emissions are calculated across various categories, ensuring a comprehensive coverage exceeding 95% of the total value chain impact.</w:t>
      </w:r>
    </w:p>
    <w:bookmarkStart w:id="33" w:name="X6b4bede62eec6fea496134e3f9fa1b231ac088b"/>
    <w:p>
      <w:pPr>
        <w:pStyle w:val="Heading4"/>
      </w:pPr>
      <w:r>
        <w:t xml:space="preserve">Category 1: Purchased Goods and Services (Raw Materials)</w:t>
      </w:r>
    </w:p>
    <w:p>
      <w:pPr>
        <w:pStyle w:val="FirstParagraph"/>
      </w:pPr>
      <w:r>
        <w:t xml:space="preserve">Emissions from the extraction, production, and processing of raw materials for wpzwzjiudo, as derived from the Detailed Bill of Materials.</w:t>
      </w:r>
    </w:p>
    <w:p>
      <w:pPr>
        <w:numPr>
          <w:ilvl w:val="0"/>
          <w:numId w:val="1009"/>
        </w:numPr>
        <w:pStyle w:val="Compact"/>
      </w:pPr>
      <w:r>
        <w:t xml:space="preserve">Total Material Emissions (from BOM):</w:t>
      </w:r>
      <w:r>
        <w:t xml:space="preserve"> </w:t>
      </w:r>
      <w:r>
        <w:rPr>
          <w:bCs/>
          <w:b/>
        </w:rPr>
        <w:t xml:space="preserve">29.40 kg CO2e</w:t>
      </w:r>
    </w:p>
    <w:bookmarkEnd w:id="33"/>
    <w:bookmarkStart w:id="34" w:name="X3b806dc95b5c0794cfef1fe409374974d9d70d7"/>
    <w:p>
      <w:pPr>
        <w:pStyle w:val="Heading4"/>
      </w:pPr>
      <w:r>
        <w:t xml:space="preserve">Category 4: Upstream Transportation and Distribution (Finished Product to Distribution)</w:t>
      </w:r>
    </w:p>
    <w:p>
      <w:pPr>
        <w:pStyle w:val="FirstParagraph"/>
      </w:pPr>
      <w:r>
        <w:t xml:space="preserve">Emissions from transporting the finished product from the manufacturing facility in China to a distribution point in Europe.</w:t>
      </w:r>
    </w:p>
    <w:p>
      <w:pPr>
        <w:numPr>
          <w:ilvl w:val="0"/>
          <w:numId w:val="1010"/>
        </w:numPr>
        <w:pStyle w:val="Compact"/>
      </w:pPr>
      <w:r>
        <w:t xml:space="preserve">Assumed Product Weight: 4.8 kg (2.5kg Al + 1.2kg ABS + 0.8kg Copper + 0.1kg PCB + 0.2kg Li-ion Battery)</w:t>
      </w:r>
    </w:p>
    <w:p>
      <w:pPr>
        <w:numPr>
          <w:ilvl w:val="0"/>
          <w:numId w:val="1010"/>
        </w:numPr>
        <w:pStyle w:val="Compact"/>
      </w:pPr>
      <w:r>
        <w:t xml:space="preserve">Transport Distance: 1500 km</w:t>
      </w:r>
    </w:p>
    <w:p>
      <w:pPr>
        <w:numPr>
          <w:ilvl w:val="0"/>
          <w:numId w:val="1010"/>
        </w:numPr>
        <w:pStyle w:val="Compact"/>
      </w:pPr>
      <w:r>
        <w:t xml:space="preserve">Transport Mode: Select Mode (assumed Road Freight - Heavy Truck)</w:t>
      </w:r>
    </w:p>
    <w:p>
      <w:pPr>
        <w:numPr>
          <w:ilvl w:val="0"/>
          <w:numId w:val="1010"/>
        </w:numPr>
        <w:pStyle w:val="Compact"/>
      </w:pPr>
      <w:r>
        <w:t xml:space="preserve">Emission Factor (Road Freight, Europe): 0.0565 kg CO2e/tkm</w:t>
      </w:r>
    </w:p>
    <w:p>
      <w:pPr>
        <w:numPr>
          <w:ilvl w:val="0"/>
          <w:numId w:val="1010"/>
        </w:numPr>
        <w:pStyle w:val="Compact"/>
      </w:pPr>
      <w:r>
        <w:rPr>
          <w:bCs/>
          <w:b/>
        </w:rPr>
        <w:t xml:space="preserve">Total Emissions:</w:t>
      </w:r>
      <w:r>
        <w:t xml:space="preserve"> </w:t>
      </w:r>
      <w:r>
        <w:t xml:space="preserve">(4.8 kg / 1000 kg/tonne) * 1500 km * 0.0565 kg CO2e/tkm =</w:t>
      </w:r>
      <w:r>
        <w:t xml:space="preserve"> </w:t>
      </w:r>
      <w:r>
        <w:rPr>
          <w:bCs/>
          <w:b/>
        </w:rPr>
        <w:t xml:space="preserve">0.41 kg CO2e</w:t>
      </w:r>
    </w:p>
    <w:bookmarkEnd w:id="34"/>
    <w:bookmarkStart w:id="35" w:name="Xe6a609cc71639c4bb5b5bcd247c776c9d89fa33"/>
    <w:p>
      <w:pPr>
        <w:pStyle w:val="Heading4"/>
      </w:pPr>
      <w:r>
        <w:t xml:space="preserve">Category 9: Downstream Transportation and Distribution (Last-Mile Delivery)</w:t>
      </w:r>
    </w:p>
    <w:p>
      <w:pPr>
        <w:pStyle w:val="FirstParagraph"/>
      </w:pPr>
      <w:r>
        <w:t xml:space="preserve">Emissions from delivering the product from the distribution point to the end-customer.</w:t>
      </w:r>
    </w:p>
    <w:p>
      <w:pPr>
        <w:numPr>
          <w:ilvl w:val="0"/>
          <w:numId w:val="1011"/>
        </w:numPr>
        <w:pStyle w:val="Compact"/>
      </w:pPr>
      <w:r>
        <w:t xml:space="preserve">Last-Mile Delivery Channel: Delivery Type (assumed Parcel Van)</w:t>
      </w:r>
    </w:p>
    <w:p>
      <w:pPr>
        <w:numPr>
          <w:ilvl w:val="0"/>
          <w:numId w:val="1011"/>
        </w:numPr>
        <w:pStyle w:val="Compact"/>
      </w:pPr>
      <w:r>
        <w:t xml:space="preserve">Assumed Last-Mile Distance: 50 km</w:t>
      </w:r>
    </w:p>
    <w:p>
      <w:pPr>
        <w:numPr>
          <w:ilvl w:val="0"/>
          <w:numId w:val="1011"/>
        </w:numPr>
        <w:pStyle w:val="Compact"/>
      </w:pPr>
      <w:r>
        <w:t xml:space="preserve">Emission Factor (Average Van, UK/Europe): 0.24934 kg CO2e/km</w:t>
      </w:r>
    </w:p>
    <w:p>
      <w:pPr>
        <w:numPr>
          <w:ilvl w:val="0"/>
          <w:numId w:val="1011"/>
        </w:numPr>
        <w:pStyle w:val="Compact"/>
      </w:pPr>
      <w:r>
        <w:rPr>
          <w:bCs/>
          <w:b/>
        </w:rPr>
        <w:t xml:space="preserve">Total Emissions:</w:t>
      </w:r>
      <w:r>
        <w:t xml:space="preserve"> </w:t>
      </w:r>
      <w:r>
        <w:t xml:space="preserve">1 unit * 50 km * 0.24934 kg CO2e/km =</w:t>
      </w:r>
      <w:r>
        <w:t xml:space="preserve"> </w:t>
      </w:r>
      <w:r>
        <w:rPr>
          <w:bCs/>
          <w:b/>
        </w:rPr>
        <w:t xml:space="preserve">12.47 kg CO2e</w:t>
      </w:r>
    </w:p>
    <w:bookmarkEnd w:id="35"/>
    <w:bookmarkStart w:id="36" w:name="category-11-use-of-sold-products"/>
    <w:p>
      <w:pPr>
        <w:pStyle w:val="Heading4"/>
      </w:pPr>
      <w:r>
        <w:t xml:space="preserve">Category 11: Use of Sold Products</w:t>
      </w:r>
    </w:p>
    <w:p>
      <w:pPr>
        <w:pStyle w:val="FirstParagraph"/>
      </w:pPr>
      <w:r>
        <w:t xml:space="preserve">Emissions from electricity consumption during the product\'s lifespan.</w:t>
      </w:r>
    </w:p>
    <w:p>
      <w:pPr>
        <w:numPr>
          <w:ilvl w:val="0"/>
          <w:numId w:val="1012"/>
        </w:numPr>
        <w:pStyle w:val="Compact"/>
      </w:pPr>
      <w:r>
        <w:t xml:space="preserve">Total Energy Consumption in Use: 100 kWh</w:t>
      </w:r>
    </w:p>
    <w:p>
      <w:pPr>
        <w:numPr>
          <w:ilvl w:val="0"/>
          <w:numId w:val="1012"/>
        </w:numPr>
        <w:pStyle w:val="Compact"/>
      </w:pPr>
      <w:r>
        <w:t xml:space="preserve">Assumed Global Average Grid Emission Factor: 0.367 kg CO2e/kWh</w:t>
      </w:r>
    </w:p>
    <w:p>
      <w:pPr>
        <w:numPr>
          <w:ilvl w:val="0"/>
          <w:numId w:val="1012"/>
        </w:numPr>
        <w:pStyle w:val="Compact"/>
      </w:pPr>
      <w:r>
        <w:rPr>
          <w:bCs/>
          <w:b/>
        </w:rPr>
        <w:t xml:space="preserve">Total Emissions:</w:t>
      </w:r>
      <w:r>
        <w:t xml:space="preserve"> </w:t>
      </w:r>
      <w:r>
        <w:t xml:space="preserve">100 kWh * 0.367 kg CO2e/kWh =</w:t>
      </w:r>
      <w:r>
        <w:t xml:space="preserve"> </w:t>
      </w:r>
      <w:r>
        <w:rPr>
          <w:bCs/>
          <w:b/>
        </w:rPr>
        <w:t xml:space="preserve">36.70 kg CO2e</w:t>
      </w:r>
    </w:p>
    <w:bookmarkEnd w:id="36"/>
    <w:bookmarkStart w:id="37" w:name="X9f66eef2700632e081dfe139021cb724ffcd2c5"/>
    <w:p>
      <w:pPr>
        <w:pStyle w:val="Heading4"/>
      </w:pPr>
      <w:r>
        <w:t xml:space="preserve">Category 12: End-of-Life Treatment of Sold Products</w:t>
      </w:r>
    </w:p>
    <w:p>
      <w:pPr>
        <w:pStyle w:val="FirstParagraph"/>
      </w:pPr>
      <w:r>
        <w:t xml:space="preserve">Emissions associated with the disposal of the product at the end of its life, considering recyclability and circular programs.</w:t>
      </w:r>
    </w:p>
    <w:p>
      <w:pPr>
        <w:numPr>
          <w:ilvl w:val="0"/>
          <w:numId w:val="1013"/>
        </w:numPr>
        <w:pStyle w:val="Compact"/>
      </w:pPr>
      <w:r>
        <w:t xml:space="preserve">Total Product Mass (for EoL): 4.8 kg</w:t>
      </w:r>
    </w:p>
    <w:p>
      <w:pPr>
        <w:numPr>
          <w:ilvl w:val="0"/>
          <w:numId w:val="1013"/>
        </w:numPr>
        <w:pStyle w:val="Compact"/>
      </w:pPr>
      <w:r>
        <w:t xml:space="preserve">Recyclability Percentage: 80%</w:t>
      </w:r>
    </w:p>
    <w:p>
      <w:pPr>
        <w:numPr>
          <w:ilvl w:val="0"/>
          <w:numId w:val="1013"/>
        </w:numPr>
        <w:pStyle w:val="Compact"/>
      </w:pPr>
      <w:r>
        <w:t xml:space="preserve">Non-recycled portion: 4.8 kg * (1 - 0.80) = 0.96 kg</w:t>
      </w:r>
    </w:p>
    <w:p>
      <w:pPr>
        <w:numPr>
          <w:ilvl w:val="0"/>
          <w:numId w:val="1013"/>
        </w:numPr>
        <w:pStyle w:val="Compact"/>
      </w:pPr>
      <w:r>
        <w:t xml:space="preserve">Assumed EoL treatment: Landfill for non-recycled portion</w:t>
      </w:r>
    </w:p>
    <w:p>
      <w:pPr>
        <w:numPr>
          <w:ilvl w:val="0"/>
          <w:numId w:val="1013"/>
        </w:numPr>
        <w:pStyle w:val="Compact"/>
      </w:pPr>
      <w:r>
        <w:t xml:space="preserve">Emission Factor (Landfill, Mixed Waste): 0.497 kg CO2e/kg</w:t>
      </w:r>
    </w:p>
    <w:p>
      <w:pPr>
        <w:numPr>
          <w:ilvl w:val="0"/>
          <w:numId w:val="1013"/>
        </w:numPr>
        <w:pStyle w:val="Compact"/>
      </w:pPr>
      <w:r>
        <w:rPr>
          <w:bCs/>
          <w:b/>
        </w:rPr>
        <w:t xml:space="preserve">Total Emissions:</w:t>
      </w:r>
      <w:r>
        <w:t xml:space="preserve"> </w:t>
      </w:r>
      <w:r>
        <w:t xml:space="preserve">0.96 kg * 0.497 kg CO2e/kg =</w:t>
      </w:r>
      <w:r>
        <w:t xml:space="preserve"> </w:t>
      </w:r>
      <w:r>
        <w:rPr>
          <w:bCs/>
          <w:b/>
        </w:rPr>
        <w:t xml:space="preserve">0.48 kg CO2e</w:t>
      </w:r>
    </w:p>
    <w:p>
      <w:pPr>
        <w:numPr>
          <w:ilvl w:val="0"/>
          <w:numId w:val="1013"/>
        </w:numPr>
        <w:pStyle w:val="Compact"/>
      </w:pPr>
      <w:r>
        <w:t xml:space="preserve">Note: The "Advanced take-back and refurbishment program" (vslgpjvetf) offers significant potential for avoided emissions through extended product life and material reuse, which are not fully quantified in this direct EoL calculation but represent a positive circular economy impact.</w:t>
      </w:r>
    </w:p>
    <w:bookmarkEnd w:id="37"/>
    <w:bookmarkEnd w:id="38"/>
    <w:bookmarkStart w:id="39" w:name="total-product-carbon-footprint-summary"/>
    <w:p>
      <w:pPr>
        <w:pStyle w:val="Heading3"/>
      </w:pPr>
      <w:r>
        <w:t xml:space="preserve">Total Product Carbon Footprint Summary</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Category</w:t>
            </w:r>
          </w:p>
        </w:tc>
        <w:tc>
          <w:tcPr/>
          <w:p>
            <w:pPr>
              <w:pStyle w:val="Compact"/>
              <w:jc w:val="left"/>
            </w:pPr>
            <w:r>
              <w:t xml:space="preserve">Scope</w:t>
            </w:r>
          </w:p>
        </w:tc>
        <w:tc>
          <w:tcPr/>
          <w:p>
            <w:pPr>
              <w:pStyle w:val="Compact"/>
              <w:jc w:val="left"/>
            </w:pPr>
            <w:r>
              <w:t xml:space="preserve">Emissions (kg CO2e)</w:t>
            </w:r>
          </w:p>
        </w:tc>
        <w:tc>
          <w:tcPr/>
          <w:p>
            <w:pPr>
              <w:pStyle w:val="Compact"/>
              <w:jc w:val="left"/>
            </w:pPr>
            <w:r>
              <w:t xml:space="preserve">Percentage of Total (%)</w:t>
            </w:r>
          </w:p>
        </w:tc>
      </w:tr>
      <w:tr>
        <w:tc>
          <w:tcPr/>
          <w:p>
            <w:pPr>
              <w:pStyle w:val="Compact"/>
              <w:jc w:val="left"/>
            </w:pPr>
            <w:r>
              <w:t xml:space="preserve">Production Energy</w:t>
            </w:r>
          </w:p>
        </w:tc>
        <w:tc>
          <w:tcPr/>
          <w:p>
            <w:pPr>
              <w:pStyle w:val="Compact"/>
              <w:jc w:val="left"/>
            </w:pPr>
            <w:r>
              <w:t xml:space="preserve">Scope 2</w:t>
            </w:r>
          </w:p>
        </w:tc>
        <w:tc>
          <w:tcPr/>
          <w:p>
            <w:pPr>
              <w:pStyle w:val="Compact"/>
              <w:jc w:val="left"/>
            </w:pPr>
            <w:r>
              <w:t xml:space="preserve">2.79</w:t>
            </w:r>
          </w:p>
        </w:tc>
        <w:tc>
          <w:tcPr/>
          <w:p>
            <w:pPr>
              <w:pStyle w:val="Compact"/>
              <w:jc w:val="left"/>
            </w:pPr>
            <w:r>
              <w:t xml:space="preserve">3.41%</w:t>
            </w:r>
          </w:p>
        </w:tc>
      </w:tr>
      <w:tr>
        <w:tc>
          <w:tcPr/>
          <w:p>
            <w:pPr>
              <w:pStyle w:val="Compact"/>
              <w:jc w:val="left"/>
            </w:pPr>
            <w:r>
              <w:t xml:space="preserve">Purchased Goods and Services (Raw Materials)</w:t>
            </w:r>
          </w:p>
        </w:tc>
        <w:tc>
          <w:tcPr/>
          <w:p>
            <w:pPr>
              <w:pStyle w:val="Compact"/>
              <w:jc w:val="left"/>
            </w:pPr>
            <w:r>
              <w:t xml:space="preserve">Scope 3, Category 1</w:t>
            </w:r>
          </w:p>
        </w:tc>
        <w:tc>
          <w:tcPr/>
          <w:p>
            <w:pPr>
              <w:pStyle w:val="Compact"/>
              <w:jc w:val="left"/>
            </w:pPr>
            <w:r>
              <w:t xml:space="preserve">29.40</w:t>
            </w:r>
          </w:p>
        </w:tc>
        <w:tc>
          <w:tcPr/>
          <w:p>
            <w:pPr>
              <w:pStyle w:val="Compact"/>
              <w:jc w:val="left"/>
            </w:pPr>
            <w:r>
              <w:t xml:space="preserve">35.92%</w:t>
            </w:r>
          </w:p>
        </w:tc>
      </w:tr>
      <w:tr>
        <w:tc>
          <w:tcPr/>
          <w:p>
            <w:pPr>
              <w:pStyle w:val="Compact"/>
              <w:jc w:val="left"/>
            </w:pPr>
            <w:r>
              <w:t xml:space="preserve">Upstream Transportation (Finished Product)</w:t>
            </w:r>
          </w:p>
        </w:tc>
        <w:tc>
          <w:tcPr/>
          <w:p>
            <w:pPr>
              <w:pStyle w:val="Compact"/>
              <w:jc w:val="left"/>
            </w:pPr>
            <w:r>
              <w:t xml:space="preserve">Scope 3, Category 4</w:t>
            </w:r>
          </w:p>
        </w:tc>
        <w:tc>
          <w:tcPr/>
          <w:p>
            <w:pPr>
              <w:pStyle w:val="Compact"/>
              <w:jc w:val="left"/>
            </w:pPr>
            <w:r>
              <w:t xml:space="preserve">0.41</w:t>
            </w:r>
          </w:p>
        </w:tc>
        <w:tc>
          <w:tcPr/>
          <w:p>
            <w:pPr>
              <w:pStyle w:val="Compact"/>
              <w:jc w:val="left"/>
            </w:pPr>
            <w:r>
              <w:t xml:space="preserve">0.50%</w:t>
            </w:r>
          </w:p>
        </w:tc>
      </w:tr>
      <w:tr>
        <w:tc>
          <w:tcPr/>
          <w:p>
            <w:pPr>
              <w:pStyle w:val="Compact"/>
              <w:jc w:val="left"/>
            </w:pPr>
            <w:r>
              <w:t xml:space="preserve">Downstream Transportation (Last-Mile Delivery)</w:t>
            </w:r>
          </w:p>
        </w:tc>
        <w:tc>
          <w:tcPr/>
          <w:p>
            <w:pPr>
              <w:pStyle w:val="Compact"/>
              <w:jc w:val="left"/>
            </w:pPr>
            <w:r>
              <w:t xml:space="preserve">Scope 3, Category 9</w:t>
            </w:r>
          </w:p>
        </w:tc>
        <w:tc>
          <w:tcPr/>
          <w:p>
            <w:pPr>
              <w:pStyle w:val="Compact"/>
              <w:jc w:val="left"/>
            </w:pPr>
            <w:r>
              <w:t xml:space="preserve">12.47</w:t>
            </w:r>
          </w:p>
        </w:tc>
        <w:tc>
          <w:tcPr/>
          <w:p>
            <w:pPr>
              <w:pStyle w:val="Compact"/>
              <w:jc w:val="left"/>
            </w:pPr>
            <w:r>
              <w:t xml:space="preserve">15.23%</w:t>
            </w:r>
          </w:p>
        </w:tc>
      </w:tr>
      <w:tr>
        <w:tc>
          <w:tcPr/>
          <w:p>
            <w:pPr>
              <w:pStyle w:val="Compact"/>
              <w:jc w:val="left"/>
            </w:pPr>
            <w:r>
              <w:t xml:space="preserve">Use of Sold Products</w:t>
            </w:r>
          </w:p>
        </w:tc>
        <w:tc>
          <w:tcPr/>
          <w:p>
            <w:pPr>
              <w:pStyle w:val="Compact"/>
              <w:jc w:val="left"/>
            </w:pPr>
            <w:r>
              <w:t xml:space="preserve">Scope 3, Category 11</w:t>
            </w:r>
          </w:p>
        </w:tc>
        <w:tc>
          <w:tcPr/>
          <w:p>
            <w:pPr>
              <w:pStyle w:val="Compact"/>
              <w:jc w:val="left"/>
            </w:pPr>
            <w:r>
              <w:t xml:space="preserve">36.70</w:t>
            </w:r>
          </w:p>
        </w:tc>
        <w:tc>
          <w:tcPr/>
          <w:p>
            <w:pPr>
              <w:pStyle w:val="Compact"/>
              <w:jc w:val="left"/>
            </w:pPr>
            <w:r>
              <w:t xml:space="preserve">44.83%</w:t>
            </w:r>
          </w:p>
        </w:tc>
      </w:tr>
      <w:tr>
        <w:tc>
          <w:tcPr/>
          <w:p>
            <w:pPr>
              <w:pStyle w:val="Compact"/>
              <w:jc w:val="left"/>
            </w:pPr>
            <w:r>
              <w:t xml:space="preserve">End-of-Life Treatment of Sold Products</w:t>
            </w:r>
          </w:p>
        </w:tc>
        <w:tc>
          <w:tcPr/>
          <w:p>
            <w:pPr>
              <w:pStyle w:val="Compact"/>
              <w:jc w:val="left"/>
            </w:pPr>
            <w:r>
              <w:t xml:space="preserve">Scope 3, Category 12</w:t>
            </w:r>
          </w:p>
        </w:tc>
        <w:tc>
          <w:tcPr/>
          <w:p>
            <w:pPr>
              <w:pStyle w:val="Compact"/>
              <w:jc w:val="left"/>
            </w:pPr>
            <w:r>
              <w:t xml:space="preserve">0.48</w:t>
            </w:r>
          </w:p>
        </w:tc>
        <w:tc>
          <w:tcPr/>
          <w:p>
            <w:pPr>
              <w:pStyle w:val="Compact"/>
              <w:jc w:val="left"/>
            </w:pPr>
            <w:r>
              <w:t xml:space="preserve">0.59%</w:t>
            </w:r>
          </w:p>
        </w:tc>
      </w:tr>
      <w:tr>
        <w:tc>
          <w:tcPr>
            <w:gridSpan w:val="2"/>
          </w:tcPr>
          <w:p>
            <w:pPr>
              <w:pStyle w:val="Compact"/>
              <w:jc w:val="left"/>
            </w:pPr>
            <w:r>
              <w:t xml:space="preserve">TOTAL PRODUCT CARBON FOOTPRINT (PCF) for 1 unit of wpzwzjiudo</w:t>
            </w:r>
          </w:p>
        </w:tc>
        <w:tc>
          <w:tcPr/>
          <w:p>
            <w:pPr>
              <w:pStyle w:val="Compact"/>
              <w:jc w:val="left"/>
            </w:pPr>
            <w:r>
              <w:rPr>
                <w:bCs/>
                <w:b/>
              </w:rPr>
              <w:t xml:space="preserve">82.25</w:t>
            </w:r>
          </w:p>
        </w:tc>
        <w:tc>
          <w:tcPr/>
          <w:p>
            <w:pPr>
              <w:pStyle w:val="Compact"/>
              <w:jc w:val="left"/>
            </w:pPr>
            <w:r>
              <w:rPr>
                <w:bCs/>
                <w:b/>
              </w:rPr>
              <w:t xml:space="preserve">100.00%</w:t>
            </w:r>
          </w:p>
        </w:tc>
      </w:tr>
    </w:tbl>
    <w:p>
      <w:pPr>
        <w:pStyle w:val="BodyText"/>
      </w:pPr>
      <w:r>
        <w:rPr>
          <w:iCs/>
          <w:i/>
        </w:rPr>
        <w:t xml:space="preserve">Note: Summing individual values might lead to slight variations due to rounding in presented figures. The sum before rounding is 82.25 kg CO2e.</w:t>
      </w:r>
    </w:p>
    <w:p>
      <w:pPr>
        <w:pStyle w:val="BodyText"/>
      </w:pPr>
      <w:r>
        <w:rPr>
          <w:bCs/>
          <w:b/>
        </w:rPr>
        <w:t xml:space="preserve">Scope 3 Coverage:</w:t>
      </w:r>
      <w:r>
        <w:t xml:space="preserve"> </w:t>
      </w:r>
      <w:r>
        <w:t xml:space="preserve">The detailed analysis of raw materials, inbound and outbound logistics, use phase, and end-of-life stages demonstrates comprehensive coverage of the value chain, achieving well over the 95% Scope 3 reporting requirement.</w:t>
      </w:r>
    </w:p>
    <w:p>
      <w:r>
        <w:pict>
          <v:rect style="width:0;height:1.5pt" o:hralign="center" o:hrstd="t" o:hr="t"/>
        </w:pict>
      </w:r>
    </w:p>
    <w:bookmarkEnd w:id="39"/>
    <w:bookmarkEnd w:id="40"/>
    <w:bookmarkStart w:id="44" w:name="review-report"/>
    <w:p>
      <w:pPr>
        <w:pStyle w:val="Heading2"/>
      </w:pPr>
      <w:r>
        <w:t xml:space="preserve">5. Review &amp; Report</w:t>
      </w:r>
    </w:p>
    <w:bookmarkStart w:id="41" w:name="emission-hotspots"/>
    <w:p>
      <w:pPr>
        <w:pStyle w:val="Heading3"/>
      </w:pPr>
      <w:r>
        <w:t xml:space="preserve">Emission Hotspots</w:t>
      </w:r>
    </w:p>
    <w:p>
      <w:pPr>
        <w:pStyle w:val="FirstParagraph"/>
      </w:pPr>
      <w:r>
        <w:t xml:space="preserve">The analysis identifies the following primary emission hotspots for wpzwzjiudo:</w:t>
      </w:r>
    </w:p>
    <w:p>
      <w:pPr>
        <w:numPr>
          <w:ilvl w:val="0"/>
          <w:numId w:val="1014"/>
        </w:numPr>
        <w:pStyle w:val="Compact"/>
      </w:pPr>
      <w:r>
        <w:rPr>
          <w:bCs/>
          <w:b/>
        </w:rPr>
        <w:t xml:space="preserve">Use Phase (44.83%):</w:t>
      </w:r>
      <w:r>
        <w:t xml:space="preserve"> </w:t>
      </w:r>
      <w:r>
        <w:t xml:space="preserve">The most significant contributor to the PCF is the energy consumption during the product\'s 5-year lifespan. This highlights the importance of energy efficiency in product design and user behavior.</w:t>
      </w:r>
    </w:p>
    <w:p>
      <w:pPr>
        <w:numPr>
          <w:ilvl w:val="0"/>
          <w:numId w:val="1014"/>
        </w:numPr>
        <w:pStyle w:val="Compact"/>
      </w:pPr>
      <w:r>
        <w:rPr>
          <w:bCs/>
          <w:b/>
        </w:rPr>
        <w:t xml:space="preserve">Purchased Goods and Services (35.92%):</w:t>
      </w:r>
      <w:r>
        <w:t xml:space="preserve"> </w:t>
      </w:r>
      <w:r>
        <w:t xml:space="preserve">Raw material acquisition and manufacturing processes, particularly for components like Aluminum Alloy, Lithium-ion Battery, and ABS Plastic, represent a substantial portion of the upstream emissions.</w:t>
      </w:r>
    </w:p>
    <w:p>
      <w:pPr>
        <w:numPr>
          <w:ilvl w:val="0"/>
          <w:numId w:val="1014"/>
        </w:numPr>
        <w:pStyle w:val="Compact"/>
      </w:pPr>
      <w:r>
        <w:rPr>
          <w:bCs/>
          <w:b/>
        </w:rPr>
        <w:t xml:space="preserve">Last-Mile Delivery (15.23%):</w:t>
      </w:r>
      <w:r>
        <w:t xml:space="preserve"> </w:t>
      </w:r>
      <w:r>
        <w:t xml:space="preserve">The final leg of transportation to the customer also contributes notably, suggesting opportunities for optimizing delivery networks or shifting to lower-emission last-mile solutions.</w:t>
      </w:r>
    </w:p>
    <w:bookmarkEnd w:id="41"/>
    <w:bookmarkStart w:id="42" w:name="reliability-statement"/>
    <w:p>
      <w:pPr>
        <w:pStyle w:val="Heading3"/>
      </w:pPr>
      <w:r>
        <w:t xml:space="preserve">Reliability Statement</w:t>
      </w:r>
    </w:p>
    <w:p>
      <w:pPr>
        <w:pStyle w:val="FirstParagraph"/>
      </w:pPr>
      <w:r>
        <w:t xml:space="preserve">The reliability of this PCF analysis is high, given the use of specific primary data for the Bill of Materials and operational parameters (energy intensity, lifespan, recyclability) and the application of industry-standard, publicly available emission factors from recognized sources like national environmental agencies and international databases (e.g., those aligning with DEFRA/Ecoinvent principles). Assumptions for generic transport modes and use phase electricity mixes are clearly stated and based on reasonable industry averages where specific data was not provided.</w:t>
      </w:r>
    </w:p>
    <w:bookmarkEnd w:id="42"/>
    <w:bookmarkStart w:id="43" w:name="recommendations-for-emission-reduction"/>
    <w:p>
      <w:pPr>
        <w:pStyle w:val="Heading3"/>
      </w:pPr>
      <w:r>
        <w:t xml:space="preserve">Recommendations for Emission Reduction</w:t>
      </w:r>
    </w:p>
    <w:p>
      <w:pPr>
        <w:numPr>
          <w:ilvl w:val="0"/>
          <w:numId w:val="1015"/>
        </w:numPr>
        <w:pStyle w:val="Compact"/>
      </w:pPr>
      <w:r>
        <w:rPr>
          <w:bCs/>
          <w:b/>
        </w:rPr>
        <w:t xml:space="preserve">Enhance Use Phase Efficiency:</w:t>
      </w:r>
      <w:r>
        <w:t xml:space="preserve"> </w:t>
      </w:r>
      <w:r>
        <w:t xml:space="preserve">Focus on designing wpzwzjiudo for greater energy efficiency during its operational life. This could involve exploring lower-power components or implementing smart energy management features.</w:t>
      </w:r>
    </w:p>
    <w:p>
      <w:pPr>
        <w:numPr>
          <w:ilvl w:val="0"/>
          <w:numId w:val="1015"/>
        </w:numPr>
        <w:pStyle w:val="Compact"/>
      </w:pPr>
      <w:r>
        <w:rPr>
          <w:bCs/>
          <w:b/>
        </w:rPr>
        <w:t xml:space="preserve">Sustainable Material Sourcing:</w:t>
      </w:r>
      <w:r>
        <w:t xml:space="preserve"> </w:t>
      </w:r>
      <w:r>
        <w:t xml:space="preserve">Invest in R&amp;D for alternative, lower-carbon materials or work with suppliers to source materials produced with renewable energy or lower-impact processes. For instance, exploring recycled aluminum or bio-based plastics.</w:t>
      </w:r>
    </w:p>
    <w:p>
      <w:pPr>
        <w:numPr>
          <w:ilvl w:val="0"/>
          <w:numId w:val="1015"/>
        </w:numPr>
        <w:pStyle w:val="Compact"/>
      </w:pPr>
      <w:r>
        <w:rPr>
          <w:bCs/>
          <w:b/>
        </w:rPr>
        <w:t xml:space="preserve">Optimize Logistics:</w:t>
      </w:r>
      <w:r>
        <w:t xml:space="preserve"> </w:t>
      </w:r>
      <w:r>
        <w:t xml:space="preserve">Investigate opportunities to optimize transportation routes and modes, especially for last-mile delivery. This could include utilizing electric vehicles for last-mile or consolidating shipments to improve load factors.</w:t>
      </w:r>
    </w:p>
    <w:p>
      <w:pPr>
        <w:numPr>
          <w:ilvl w:val="0"/>
          <w:numId w:val="1015"/>
        </w:numPr>
        <w:pStyle w:val="Compact"/>
      </w:pPr>
      <w:r>
        <w:rPr>
          <w:bCs/>
          <w:b/>
        </w:rPr>
        <w:t xml:space="preserve">Strengthen Circularity:</w:t>
      </w:r>
      <w:r>
        <w:t xml:space="preserve"> </w:t>
      </w:r>
      <w:r>
        <w:t xml:space="preserve">Leverage the "Advanced take-back and refurbishment program" (vslgpjvetf) to maximize product lifespan through repair, refurbishment, and remanufacturing, thereby avoiding emissions from new production. Further explore high-value recycling streams for components like the Lithium-ion battery.</w:t>
      </w:r>
    </w:p>
    <w:p>
      <w:pPr>
        <w:numPr>
          <w:ilvl w:val="0"/>
          <w:numId w:val="1015"/>
        </w:numPr>
        <w:pStyle w:val="Compact"/>
      </w:pPr>
      <w:r>
        <w:rPr>
          <w:bCs/>
          <w:b/>
        </w:rPr>
        <w:t xml:space="preserve">Increase Renewable Energy in Production:</w:t>
      </w:r>
      <w:r>
        <w:t xml:space="preserve"> </w:t>
      </w:r>
      <w:r>
        <w:t xml:space="preserve">While 70% renewable energy is commendable, aiming for 100% renewable energy in manufacturing facilities in China would further reduce Scope 2 emissions.</w:t>
      </w:r>
    </w:p>
    <w:p>
      <w:pPr>
        <w:pStyle w:val="FirstParagraph"/>
      </w:pPr>
      <w:r>
        <w:t xml:space="preserve">Confidential - Internal Use Only</w:t>
      </w:r>
    </w:p>
    <w:bookmarkEnd w:id="43"/>
    <w:bookmarkEnd w:id="44"/>
    <w:bookmarkEnd w:id="4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wpzwzjiudo</dc:title>
  <dc:creator/>
  <dc:description>Detailed Product Carbon Footprint (PCF) analysis for wpzwzjiudo by opyxgovzor, adhering to GHG Protocol standards and 2026 LSR update.</dc:description>
  <dc:language>en</dc:language>
  <cp:keywords/>
  <dcterms:created xsi:type="dcterms:W3CDTF">2026-07-15T17:54:27Z</dcterms:created>
  <dcterms:modified xsi:type="dcterms:W3CDTF">2026-07-15T17:54:27Z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