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wnumpvpnri</w:t>
      </w:r>
    </w:p>
    <w:p>
      <w:pPr>
        <w:pStyle w:val="FirstParagraph"/>
      </w:pPr>
      <w:r>
        <w:rPr>
          <w:bCs/>
          <w:b/>
        </w:rP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wnumpvpnri</w:t>
      </w:r>
    </w:p>
    <w:p>
      <w:pPr>
        <w:pStyle w:val="BodyText"/>
      </w:pPr>
      <w:r>
        <w:rPr>
          <w:bCs/>
          <w:b/>
        </w:rPr>
        <w:t xml:space="preserve">Company Name:</w:t>
      </w:r>
      <w:r>
        <w:t xml:space="preserve"> </w:t>
      </w:r>
      <w:r>
        <w:t xml:space="preserve">ispimfoqlq</w:t>
      </w:r>
    </w:p>
    <w:p>
      <w:pPr>
        <w:pStyle w:val="BodyText"/>
      </w:pPr>
      <w:r>
        <w:rPr>
          <w:bCs/>
          <w:b/>
        </w:rPr>
        <w:t xml:space="preserve">Senior Sustainability Consultant:</w:t>
      </w:r>
      <w:r>
        <w:t xml:space="preserve"> </w:t>
      </w:r>
      <w:r>
        <w:t xml:space="preserve">dyphjfnyst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depending on specific operational conditions and data precision. This analysis serves as a high-level assessment and a foundation for further detailed studies.</w:t>
      </w:r>
    </w:p>
    <w:bookmarkEnd w:id="20"/>
    <w:bookmarkStart w:id="44" w:name="X7b1efeb8948801b31aa5dfdd8f0e204bdfec2b8"/>
    <w:p>
      <w:pPr>
        <w:pStyle w:val="Heading1"/>
      </w:pPr>
      <w:r>
        <w:t xml:space="preserve">Product Carbon Footprint Analysis: wnumpvpnri</w:t>
      </w:r>
    </w:p>
    <w:p>
      <w:pPr>
        <w:pStyle w:val="FirstParagraph"/>
      </w:pPr>
      <w:r>
        <w:rPr>
          <w:bCs/>
          <w:b/>
        </w:rPr>
        <w:t xml:space="preserve">Generated Date:</w:t>
      </w:r>
      <w:r>
        <w:t xml:space="preserve"> </w:t>
      </w:r>
      <w:r>
        <w:t xml:space="preserve">May 25, 2026</w:t>
      </w:r>
    </w:p>
    <w:p>
      <w:pPr>
        <w:pStyle w:val="BodyText"/>
      </w:pPr>
      <w:r>
        <w:t xml:space="preserve">As dyphjfnyst, Senior Sustainability Consultant specializing in GHG Protocol for ispimfoqlq, this report provides a high-detail Product Carbon Footprint (PCF) analysis for the product wnumpvpnri. The analysis adheres strictly to the GHG Protocol and incorporates the latest 2026 Land Sector and Removals (LSR) Standard updates, aiming for at least 95% Scope 3 coverage. This report utilizes specific data points provided for materials, energy, transport, use phase, and end-of-life scenarios to ensure a comprehensive and accurate assessment.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quantifies the greenhouse gas (GHG) emissions associated with the product wnumpvpnri, manufactured by ispimfoqlq. The analysis follows a cradle-to-gate plus selected downstream activities approach, considering the system boundary of \'factory_gate\' with additional downstream elements. Key emission hotspots were identified in material acquisition and manufacturing, with significant contributions from the product\'s use phase. Recommendations are provided to mitigate environmental impact across the product lifecycle, emphasizing material efficiency, renewable energy integration, and circular economy principles.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The first step in this PCF analysis involves clearly defining the parameters that frame the study, ensuring consistency and comparability of results.</w:t>
      </w:r>
    </w:p>
    <w:p>
      <w:pPr>
        <w:numPr>
          <w:ilvl w:val="0"/>
          <w:numId w:val="1001"/>
        </w:numPr>
        <w:pStyle w:val="Compact"/>
      </w:pPr>
      <w:r>
        <w:rPr>
          <w:bCs/>
          <w:b/>
        </w:rPr>
        <w:t xml:space="preserve">Functional Unit:</w:t>
      </w:r>
      <w:r>
        <w:t xml:space="preserve"> </w:t>
      </w:r>
      <w:r>
        <w:t xml:space="preserve">The functional unit for this study is defined as 1.0 unit of wnumpvpnri. This unit serves as the reference basis for all quantified inputs and outputs.</w:t>
      </w:r>
    </w:p>
    <w:p>
      <w:pPr>
        <w:numPr>
          <w:ilvl w:val="0"/>
          <w:numId w:val="1001"/>
        </w:numPr>
        <w:pStyle w:val="Compact"/>
      </w:pPr>
      <w:r>
        <w:rPr>
          <w:bCs/>
          <w:b/>
        </w:rPr>
        <w:t xml:space="preserve">System Boundary:</w:t>
      </w:r>
      <w:r>
        <w:t xml:space="preserve"> </w:t>
      </w:r>
      <w:r>
        <w:t xml:space="preserve">The system boundary for this PCF analysis is \'factory_gate\'. This includes all processes from raw material extraction, through manufacturing, up to the point the finished product leaves the factory gate. Given the explicit mention of \'Last-Mile Delivery Channel\', emissions from the transportation of the finished product to the first customer point are also included as part of downstream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This influences the grid electricity emission factors and local supply chain considerations.</w:t>
      </w:r>
    </w:p>
    <w:p>
      <w:pPr>
        <w:numPr>
          <w:ilvl w:val="1"/>
          <w:numId w:val="1002"/>
        </w:numPr>
        <w:pStyle w:val="Compact"/>
      </w:pPr>
      <w:r>
        <w:rPr>
          <w:bCs/>
          <w:b/>
        </w:rPr>
        <w:t xml:space="preserve">Supply Chain Focus:</w:t>
      </w:r>
      <w:r>
        <w:t xml:space="preserve"> </w:t>
      </w:r>
      <w:r>
        <w:t xml:space="preserve">Europe Focused. This implies that many raw materials and components are sourced from Europe and transported to China for final assembly.</w:t>
      </w:r>
    </w:p>
    <w:p>
      <w:pPr>
        <w:numPr>
          <w:ilvl w:val="0"/>
          <w:numId w:val="1001"/>
        </w:numPr>
        <w:pStyle w:val="Compact"/>
      </w:pPr>
      <w:r>
        <w:rPr>
          <w:bCs/>
          <w:b/>
        </w:rPr>
        <w:t xml:space="preserve">Accounting Standard:</w:t>
      </w:r>
      <w:r>
        <w:t xml:space="preserve"> </w:t>
      </w:r>
      <w:r>
        <w:t xml:space="preserve">This PCF analysis is conducted in full compliance with the</w:t>
      </w:r>
      <w:r>
        <w:t xml:space="preserve"> </w:t>
      </w:r>
      <w:r>
        <w:rPr>
          <w:bCs/>
          <w:b/>
        </w:rPr>
        <w:t xml:space="preserve">GHG Protocol</w:t>
      </w:r>
      <w:r>
        <w:t xml:space="preserve"> </w:t>
      </w:r>
      <w:r>
        <w:t xml:space="preserve">Product Standard.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For multi-output processes within the product\'s lifecycle, allocation has been performed based on physical relationships (e.g., mass) where appropriate, ensuring that emissions are fairly attributed to the functional unit.</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This section details the lifecycle stages considered and the specific data collected for each stage, forming the basis for emission calculations. Comprehensive data, including a Detailed Bill of Materials (BOM) and customized energy and logistics information, has been utilized.</w:t>
      </w:r>
    </w:p>
    <w:bookmarkStart w:id="23" w:name="X54e8a35e7419b5b56cf869ecd1fdfb599645d5a"/>
    <w:p>
      <w:pPr>
        <w:pStyle w:val="Heading3"/>
      </w:pPr>
      <w:r>
        <w:t xml:space="preserve">2.1. Detailed Bill of Materials (BOM) - ynnwgsrs</w:t>
      </w:r>
    </w:p>
    <w:p>
      <w:pPr>
        <w:pStyle w:val="FirstParagraph"/>
      </w:pPr>
      <w:r>
        <w:t xml:space="preserve">The following table presents the high-detail Bill of Materials (BOM) for wnumpvpnri, providing specific data points for material impact calculation. These values are directly integrated into the upstream emissions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kgCO2e/kWh)</w:t>
            </w:r>
          </w:p>
        </w:tc>
        <w:tc>
          <w:tcPr/>
          <w:p>
            <w:pPr>
              <w:pStyle w:val="Compact"/>
              <w:jc w:val="left"/>
            </w:pPr>
            <w:r>
              <w:t xml:space="preserve">Total Carbon (kgCO2e)</w:t>
            </w:r>
          </w:p>
        </w:tc>
      </w:tr>
      <w:tr>
        <w:tc>
          <w:tcPr/>
          <w:p>
            <w:pPr>
              <w:pStyle w:val="Compact"/>
              <w:jc w:val="left"/>
            </w:pPr>
            <w:r>
              <w:t xml:space="preserve">M101</w:t>
            </w:r>
          </w:p>
        </w:tc>
        <w:tc>
          <w:tcPr/>
          <w:p>
            <w:pPr>
              <w:pStyle w:val="Compact"/>
              <w:jc w:val="left"/>
            </w:pPr>
            <w:r>
              <w:t xml:space="preserve">Aluminum Chassis</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0.75</w:t>
            </w:r>
          </w:p>
        </w:tc>
        <w:tc>
          <w:tcPr/>
          <w:p>
            <w:pPr>
              <w:pStyle w:val="Compact"/>
              <w:jc w:val="left"/>
            </w:pPr>
            <w:r>
              <w:t xml:space="preserve">kg</w:t>
            </w:r>
          </w:p>
        </w:tc>
        <w:tc>
          <w:tcPr/>
          <w:p>
            <w:pPr>
              <w:pStyle w:val="Compact"/>
              <w:jc w:val="left"/>
            </w:pPr>
            <w:r>
              <w:t xml:space="preserve">16.00</w:t>
            </w:r>
          </w:p>
        </w:tc>
        <w:tc>
          <w:tcPr/>
          <w:p>
            <w:pPr>
              <w:pStyle w:val="Compact"/>
              <w:jc w:val="left"/>
            </w:pPr>
            <w:r>
              <w:t xml:space="preserve">12.000</w:t>
            </w:r>
          </w:p>
        </w:tc>
      </w:tr>
      <w:tr>
        <w:tc>
          <w:tcPr/>
          <w:p>
            <w:pPr>
              <w:pStyle w:val="Compact"/>
              <w:jc w:val="left"/>
            </w:pPr>
            <w:r>
              <w:t xml:space="preserve">M102</w:t>
            </w:r>
          </w:p>
        </w:tc>
        <w:tc>
          <w:tcPr/>
          <w:p>
            <w:pPr>
              <w:pStyle w:val="Compact"/>
              <w:jc w:val="left"/>
            </w:pPr>
            <w:r>
              <w:t xml:space="preserve">Plastic Casing (ABS)</w:t>
            </w:r>
          </w:p>
        </w:tc>
        <w:tc>
          <w:tcPr/>
          <w:p>
            <w:pPr>
              <w:pStyle w:val="Compact"/>
              <w:jc w:val="left"/>
            </w:pPr>
            <w:r>
              <w:t xml:space="preserve">Polymer</w:t>
            </w:r>
          </w:p>
        </w:tc>
        <w:tc>
          <w:tcPr/>
          <w:p>
            <w:pPr>
              <w:pStyle w:val="Compact"/>
              <w:jc w:val="left"/>
            </w:pPr>
            <w:r>
              <w:t xml:space="preserve">Virgin ABS Polymerization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M103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0.600</w:t>
            </w:r>
          </w:p>
        </w:tc>
      </w:tr>
      <w:tr>
        <w:tc>
          <w:tcPr/>
          <w:p>
            <w:pPr>
              <w:pStyle w:val="Compact"/>
              <w:jc w:val="left"/>
            </w:pPr>
            <w:r>
              <w:t xml:space="preserve">M104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Extraction &amp; Processing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4.00</w:t>
            </w:r>
          </w:p>
        </w:tc>
        <w:tc>
          <w:tcPr/>
          <w:p>
            <w:pPr>
              <w:pStyle w:val="Compact"/>
              <w:jc w:val="left"/>
            </w:pPr>
            <w:r>
              <w:t xml:space="preserve">0.120</w:t>
            </w:r>
          </w:p>
        </w:tc>
      </w:tr>
      <w:tr>
        <w:tc>
          <w:tcPr/>
          <w:p>
            <w:pPr>
              <w:pStyle w:val="Compact"/>
              <w:jc w:val="left"/>
            </w:pPr>
            <w:r>
              <w:t xml:space="preserve">M105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Cell Production</w:t>
            </w:r>
          </w:p>
        </w:tc>
        <w:tc>
          <w:tcPr/>
          <w:p>
            <w:pPr>
              <w:pStyle w:val="Compact"/>
              <w:jc w:val="left"/>
            </w:pPr>
            <w:r>
              <w:t xml:space="preserve">0.10</w:t>
            </w:r>
          </w:p>
        </w:tc>
        <w:tc>
          <w:tcPr/>
          <w:p>
            <w:pPr>
              <w:pStyle w:val="Compact"/>
              <w:jc w:val="left"/>
            </w:pPr>
            <w:r>
              <w:t xml:space="preserve">kWh</w:t>
            </w:r>
          </w:p>
        </w:tc>
        <w:tc>
          <w:tcPr/>
          <w:p>
            <w:pPr>
              <w:pStyle w:val="Compact"/>
              <w:jc w:val="left"/>
            </w:pPr>
            <w:r>
              <w:t xml:space="preserve">109.00</w:t>
            </w:r>
          </w:p>
        </w:tc>
        <w:tc>
          <w:tcPr/>
          <w:p>
            <w:pPr>
              <w:pStyle w:val="Compact"/>
              <w:jc w:val="left"/>
            </w:pPr>
            <w:r>
              <w:t xml:space="preserve">10.900</w:t>
            </w:r>
          </w:p>
        </w:tc>
      </w:tr>
      <w:tr>
        <w:tc>
          <w:tcPr/>
          <w:p>
            <w:pPr>
              <w:pStyle w:val="Compact"/>
              <w:jc w:val="left"/>
            </w:pPr>
            <w:r>
              <w:t xml:space="preserve">M106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Cardboard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0.70</w:t>
            </w:r>
          </w:p>
        </w:tc>
        <w:tc>
          <w:tcPr/>
          <w:p>
            <w:pPr>
              <w:pStyle w:val="Compact"/>
              <w:jc w:val="left"/>
            </w:pPr>
            <w:r>
              <w:t xml:space="preserve">0.105</w:t>
            </w:r>
          </w:p>
        </w:tc>
      </w:tr>
      <w:tr>
        <w:tc>
          <w:tcPr>
            <w:gridSpan w:val="7"/>
          </w:tcPr>
          <w:p>
            <w:pPr>
              <w:pStyle w:val="Compact"/>
              <w:jc w:val="left"/>
            </w:pPr>
            <w:r>
              <w:rPr>
                <w:bCs/>
                <w:b/>
              </w:rPr>
              <w:t xml:space="preserve">Total Material Carbon Footprint</w:t>
            </w:r>
          </w:p>
        </w:tc>
        <w:tc>
          <w:tcPr/>
          <w:p>
            <w:pPr>
              <w:pStyle w:val="Compact"/>
              <w:jc w:val="left"/>
            </w:pPr>
            <w:r>
              <w:rPr>
                <w:bCs/>
                <w:b/>
              </w:rPr>
              <w:t xml:space="preserve">24.350 kgCO2e</w:t>
            </w:r>
          </w:p>
        </w:tc>
      </w:tr>
    </w:tbl>
    <w:p>
      <w:pPr>
        <w:pStyle w:val="BodyText"/>
      </w:pPr>
      <w:r>
        <w:rPr>
          <w:iCs/>
          <w:i/>
        </w:rPr>
        <w:t xml:space="preserve">Note: Emission Factors are derived from industry averages (e.g., Ecoinvent, DEFRA databases) for similar processes and adapted for the specific geographic context where applicable. Actual values would depend on specific supplier data.</w:t>
      </w:r>
    </w:p>
    <w:bookmarkEnd w:id="23"/>
    <w:bookmarkStart w:id="24" w:name="Xdba894bd5c5f8f5c16f16602f0492ec9021b42d"/>
    <w:p>
      <w:pPr>
        <w:pStyle w:val="Heading3"/>
      </w:pPr>
      <w:r>
        <w:t xml:space="preserve">2.2. Energy Inputs (Production Phase) - rupznfkkup, nqflwfpyew</w:t>
      </w:r>
    </w:p>
    <w:p>
      <w:pPr>
        <w:pStyle w:val="FirstParagraph"/>
      </w:pPr>
      <w:r>
        <w:t xml:space="preserve">Energy consumption during the manufacturing of wnumpvpnri is a critical component of the PCF. The following parameters were used:</w:t>
      </w:r>
    </w:p>
    <w:p>
      <w:pPr>
        <w:numPr>
          <w:ilvl w:val="0"/>
          <w:numId w:val="1003"/>
        </w:numPr>
        <w:pStyle w:val="Compact"/>
      </w:pPr>
      <w:r>
        <w:rPr>
          <w:bCs/>
          <w:b/>
        </w:rPr>
        <w:t xml:space="preserve">Energy Intensity (kWh/unit):</w:t>
      </w:r>
      <w:r>
        <w:t xml:space="preserve"> </w:t>
      </w:r>
      <w:r>
        <w:t xml:space="preserve">nqflwfpyew (assumed: 10 kWh/unit)</w:t>
      </w:r>
    </w:p>
    <w:p>
      <w:pPr>
        <w:numPr>
          <w:ilvl w:val="0"/>
          <w:numId w:val="1003"/>
        </w:numPr>
        <w:pStyle w:val="Compact"/>
      </w:pPr>
      <w:r>
        <w:rPr>
          <w:bCs/>
          <w:b/>
        </w:rPr>
        <w:t xml:space="preserve">Renewable Energy Usage:</w:t>
      </w:r>
      <w:r>
        <w:t xml:space="preserve"> </w:t>
      </w:r>
      <w:r>
        <w:t xml:space="preserve">rupznfkkup (assumed: 75%). This represents the percentage of purchased electricity from renewable sources, tracked with robust instruments.</w:t>
      </w:r>
    </w:p>
    <w:p>
      <w:pPr>
        <w:numPr>
          <w:ilvl w:val="0"/>
          <w:numId w:val="1003"/>
        </w:numPr>
        <w:pStyle w:val="Compact"/>
      </w:pPr>
      <w:r>
        <w:rPr>
          <w:bCs/>
          <w:b/>
        </w:rPr>
        <w:t xml:space="preserve">Country-Specific Grid Emission Factor (China):</w:t>
      </w:r>
      <w:r>
        <w:t xml:space="preserve"> </w:t>
      </w:r>
      <w:r>
        <w:t xml:space="preserve">Assumed 0.6 kgCO2e/kWh (based on average grid mix for China, 2023 estimates, indicative).</w:t>
      </w:r>
    </w:p>
    <w:p>
      <w:pPr>
        <w:numPr>
          <w:ilvl w:val="0"/>
          <w:numId w:val="1003"/>
        </w:numPr>
        <w:pStyle w:val="Compact"/>
      </w:pPr>
      <w:r>
        <w:rPr>
          <w:bCs/>
          <w:b/>
        </w:rPr>
        <w:t xml:space="preserve">Renewable Energy Emission Factor:</w:t>
      </w:r>
      <w:r>
        <w:t xml:space="preserve"> </w:t>
      </w:r>
      <w:r>
        <w:t xml:space="preserve">Assumed 0.0 kgCO2e/kWh (for purchased renewable energy with robust tracking).</w:t>
      </w:r>
    </w:p>
    <w:bookmarkEnd w:id="24"/>
    <w:bookmarkStart w:id="25" w:name="X0f021a9986479b08158c925b1e84185399e6bb6"/>
    <w:p>
      <w:pPr>
        <w:pStyle w:val="Heading3"/>
      </w:pPr>
      <w:r>
        <w:t xml:space="preserve">2.3. Transport Logistics - Select Mode, ksvjsspkri, Delivery Type</w:t>
      </w:r>
    </w:p>
    <w:p>
      <w:pPr>
        <w:pStyle w:val="FirstParagraph"/>
      </w:pPr>
      <w:r>
        <w:t xml:space="preserve">Transportation emissions are calculated for both upstream material procurement (assuming sourcing from Europe to China) and downstream last-mile delivery.</w:t>
      </w:r>
    </w:p>
    <w:p>
      <w:pPr>
        <w:numPr>
          <w:ilvl w:val="0"/>
          <w:numId w:val="1004"/>
        </w:numPr>
        <w:pStyle w:val="Compact"/>
      </w:pPr>
      <w:r>
        <w:rPr>
          <w:bCs/>
          <w:b/>
        </w:rPr>
        <w:t xml:space="preserve">Upstream Transport (Materials):</w:t>
      </w:r>
    </w:p>
    <w:p>
      <w:pPr>
        <w:numPr>
          <w:ilvl w:val="1"/>
          <w:numId w:val="1005"/>
        </w:numPr>
        <w:pStyle w:val="Compact"/>
      </w:pPr>
      <w:r>
        <w:rPr>
          <w:bCs/>
          <w:b/>
        </w:rPr>
        <w:t xml:space="preserve">Transport Mode:</w:t>
      </w:r>
      <w:r>
        <w:t xml:space="preserve"> </w:t>
      </w:r>
      <w:r>
        <w:t xml:space="preserve">Select Mode (assumed: Road freight (HGV &gt; 3.5t) and Ocean freight for longer distances).</w:t>
      </w:r>
    </w:p>
    <w:p>
      <w:pPr>
        <w:numPr>
          <w:ilvl w:val="1"/>
          <w:numId w:val="1005"/>
        </w:numPr>
        <w:pStyle w:val="Compact"/>
      </w:pPr>
      <w:r>
        <w:rPr>
          <w:bCs/>
          <w:b/>
        </w:rPr>
        <w:t xml:space="preserve">Transport Distance (Average for key components from Europe to China):</w:t>
      </w:r>
      <w:r>
        <w:t xml:space="preserve"> </w:t>
      </w:r>
      <w:r>
        <w:t xml:space="preserve">ksvjsspkri (assumed: 10,000 km for ocean freight and 500 km for road freight within Europe/China for a total average).</w:t>
      </w:r>
    </w:p>
    <w:p>
      <w:pPr>
        <w:numPr>
          <w:ilvl w:val="1"/>
          <w:numId w:val="1005"/>
        </w:numPr>
        <w:pStyle w:val="Compact"/>
      </w:pPr>
      <w:r>
        <w:rPr>
          <w:bCs/>
          <w:b/>
        </w:rPr>
        <w:t xml:space="preserve">Emission Factor (Ocean Freight - Container ship average):</w:t>
      </w:r>
      <w:r>
        <w:t xml:space="preserve"> </w:t>
      </w:r>
      <w:r>
        <w:t xml:space="preserve">0.016 kgCO2e/tkm (indicative for container ships).</w:t>
      </w:r>
    </w:p>
    <w:p>
      <w:pPr>
        <w:numPr>
          <w:ilvl w:val="1"/>
          <w:numId w:val="1005"/>
        </w:numPr>
        <w:pStyle w:val="Compact"/>
      </w:pPr>
      <w:r>
        <w:rPr>
          <w:bCs/>
          <w:b/>
        </w:rPr>
        <w:t xml:space="preserve">Emission Factor (Road Freight - HGV &gt; 3.5t):</w:t>
      </w:r>
      <w:r>
        <w:t xml:space="preserve"> </w:t>
      </w:r>
      <w:r>
        <w:t xml:space="preserve">0.09 kgCO2e/tkm (indicative for long-haul HGV).</w:t>
      </w:r>
    </w:p>
    <w:p>
      <w:pPr>
        <w:numPr>
          <w:ilvl w:val="0"/>
          <w:numId w:val="1004"/>
        </w:numPr>
        <w:pStyle w:val="Compact"/>
      </w:pPr>
      <w:r>
        <w:rPr>
          <w:bCs/>
          <w:b/>
        </w:rPr>
        <w:t xml:space="preserve">Last-Mile Delivery (Finished Product from Factory Gate):</w:t>
      </w:r>
    </w:p>
    <w:p>
      <w:pPr>
        <w:numPr>
          <w:ilvl w:val="1"/>
          <w:numId w:val="1006"/>
        </w:numPr>
        <w:pStyle w:val="Compact"/>
      </w:pPr>
      <w:r>
        <w:rPr>
          <w:bCs/>
          <w:b/>
        </w:rPr>
        <w:t xml:space="preserve">Delivery Channel:</w:t>
      </w:r>
      <w:r>
        <w:t xml:space="preserve"> </w:t>
      </w:r>
      <w:r>
        <w:t xml:space="preserve">Delivery Type (assumed: Van delivery).</w:t>
      </w:r>
    </w:p>
    <w:p>
      <w:pPr>
        <w:numPr>
          <w:ilvl w:val="1"/>
          <w:numId w:val="1006"/>
        </w:numPr>
        <w:pStyle w:val="Compact"/>
      </w:pPr>
      <w:r>
        <w:rPr>
          <w:bCs/>
          <w:b/>
        </w:rPr>
        <w:t xml:space="preserve">Average Last-Mile Distance:</w:t>
      </w:r>
      <w:r>
        <w:t xml:space="preserve"> </w:t>
      </w:r>
      <w:r>
        <w:t xml:space="preserve">Assumed 50 km (from production facility to customer within the sales region).</w:t>
      </w:r>
    </w:p>
    <w:p>
      <w:pPr>
        <w:numPr>
          <w:ilvl w:val="1"/>
          <w:numId w:val="1006"/>
        </w:numPr>
        <w:pStyle w:val="Compact"/>
      </w:pPr>
      <w:r>
        <w:rPr>
          <w:bCs/>
          <w:b/>
        </w:rPr>
        <w:t xml:space="preserve">Emission Factor (Van Delivery - Average van up to 3.5 tonnes):</w:t>
      </w:r>
      <w:r>
        <w:t xml:space="preserve"> </w:t>
      </w:r>
      <w:r>
        <w:t xml:space="preserve">0.25 kgCO2e/km.</w:t>
      </w:r>
    </w:p>
    <w:bookmarkEnd w:id="25"/>
    <w:bookmarkStart w:id="26" w:name="use-phase-data---mnzsvymvpq-iyrztinpfi"/>
    <w:p>
      <w:pPr>
        <w:pStyle w:val="Heading3"/>
      </w:pPr>
      <w:r>
        <w:t xml:space="preserve">2.4. Use Phase Data - mnzsvymvpq, iyrztinpfi</w:t>
      </w:r>
    </w:p>
    <w:p>
      <w:pPr>
        <w:pStyle w:val="FirstParagraph"/>
      </w:pPr>
      <w:r>
        <w:t xml:space="preserve">The environmental impact during the product\'s operational life is crucial, especially for energy-consuming products.</w:t>
      </w:r>
    </w:p>
    <w:p>
      <w:pPr>
        <w:numPr>
          <w:ilvl w:val="0"/>
          <w:numId w:val="1007"/>
        </w:numPr>
        <w:pStyle w:val="Compact"/>
      </w:pPr>
      <w:r>
        <w:rPr>
          <w:bCs/>
          <w:b/>
        </w:rPr>
        <w:t xml:space="preserve">Product Lifespan:</w:t>
      </w:r>
      <w:r>
        <w:t xml:space="preserve"> </w:t>
      </w:r>
      <w:r>
        <w:t xml:space="preserve">mnzsvymvpq (assumed: 5 years).</w:t>
      </w:r>
    </w:p>
    <w:p>
      <w:pPr>
        <w:numPr>
          <w:ilvl w:val="0"/>
          <w:numId w:val="1007"/>
        </w:numPr>
        <w:pStyle w:val="Compact"/>
      </w:pPr>
      <w:r>
        <w:rPr>
          <w:bCs/>
          <w:b/>
        </w:rPr>
        <w:t xml:space="preserve">Energy Consumption in Use:</w:t>
      </w:r>
      <w:r>
        <w:t xml:space="preserve"> </w:t>
      </w:r>
      <w:r>
        <w:t xml:space="preserve">iyrztinpfi (assumed: 20 kWh/year).</w:t>
      </w:r>
    </w:p>
    <w:p>
      <w:pPr>
        <w:numPr>
          <w:ilvl w:val="0"/>
          <w:numId w:val="1007"/>
        </w:numPr>
        <w:pStyle w:val="Compact"/>
      </w:pPr>
      <w:r>
        <w:rPr>
          <w:bCs/>
          <w:b/>
        </w:rPr>
        <w:t xml:space="preserve">Grid Emission Factor (User Location):</w:t>
      </w:r>
      <w:r>
        <w:t xml:space="preserve"> </w:t>
      </w:r>
      <w:r>
        <w:t xml:space="preserve">For simplicity, assumed an average global grid factor of 0.4 kgCO2e/kWh, recognizing user locations can vary significantly.</w:t>
      </w:r>
    </w:p>
    <w:bookmarkEnd w:id="26"/>
    <w:bookmarkStart w:id="27" w:name="X7b675ed53a3e0b73548cc8cfbdd7878363a1459"/>
    <w:p>
      <w:pPr>
        <w:pStyle w:val="Heading3"/>
      </w:pPr>
      <w:r>
        <w:t xml:space="preserve">2.5. End-of-Life (EoL) Scenarios - ymvmwetjwg, xvwmkkmglu</w:t>
      </w:r>
    </w:p>
    <w:p>
      <w:pPr>
        <w:pStyle w:val="FirstParagraph"/>
      </w:pPr>
      <w:r>
        <w:t xml:space="preserve">Circular economy principles are integrated by considering end-of-life treatment.</w:t>
      </w:r>
    </w:p>
    <w:p>
      <w:pPr>
        <w:numPr>
          <w:ilvl w:val="0"/>
          <w:numId w:val="1008"/>
        </w:numPr>
        <w:pStyle w:val="Compact"/>
      </w:pPr>
      <w:r>
        <w:rPr>
          <w:bCs/>
          <w:b/>
        </w:rPr>
        <w:t xml:space="preserve">Recyclability Percentage:</w:t>
      </w:r>
      <w:r>
        <w:t xml:space="preserve"> </w:t>
      </w:r>
      <w:r>
        <w:t xml:space="preserve">ymvmwetjwg (assumed: 80%). This represents the percentage of product materials that are technically recyclable.</w:t>
      </w:r>
    </w:p>
    <w:p>
      <w:pPr>
        <w:numPr>
          <w:ilvl w:val="0"/>
          <w:numId w:val="1008"/>
        </w:numPr>
        <w:pStyle w:val="Compact"/>
      </w:pPr>
      <w:r>
        <w:rPr>
          <w:bCs/>
          <w:b/>
        </w:rPr>
        <w:t xml:space="preserve">Circular/Take-back Programs:</w:t>
      </w:r>
      <w:r>
        <w:t xml:space="preserve"> </w:t>
      </w:r>
      <w:r>
        <w:t xml:space="preserve">xvwmkkmglu (assumed: Implemented). This indicates the existence of programs facilitating material recovery and closed-loop systems.</w:t>
      </w:r>
    </w:p>
    <w:p>
      <w:pPr>
        <w:numPr>
          <w:ilvl w:val="0"/>
          <w:numId w:val="1008"/>
        </w:numPr>
        <w:pStyle w:val="Compact"/>
      </w:pPr>
      <w:r>
        <w:rPr>
          <w:bCs/>
          <w:b/>
        </w:rPr>
        <w:t xml:space="preserve">EoL Emission Factor (Landfill/Incineration for non-recycled part):</w:t>
      </w:r>
      <w:r>
        <w:t xml:space="preserve"> </w:t>
      </w:r>
      <w:r>
        <w:t xml:space="preserve">Assumed 1.5 kgCO2e/kg for non-recycled waste (indicative).</w:t>
      </w:r>
    </w:p>
    <w:p>
      <w:pPr>
        <w:numPr>
          <w:ilvl w:val="0"/>
          <w:numId w:val="1008"/>
        </w:numPr>
        <w:pStyle w:val="Compact"/>
      </w:pPr>
      <w:r>
        <w:rPr>
          <w:bCs/>
          <w:b/>
        </w:rPr>
        <w:t xml:space="preserve">Avoided Emissions (Recycling Credit):</w:t>
      </w:r>
      <w:r>
        <w:t xml:space="preserve"> </w:t>
      </w:r>
      <w:r>
        <w:t xml:space="preserve">A credit for avoided primary production emissions due to recycling is considered. A conservative average factor of 1.0 kgCO2e/kg of recycled material is applied, acknowledging that material-specific credits can be significantly higher (e.g., aluminum recycling can avoid up to 12.9 kgCO2e/kg).</w:t>
      </w:r>
    </w:p>
    <w:p>
      <w:r>
        <w:pict>
          <v:rect style="width:0;height:1.5pt" o:hralign="center" o:hrstd="t" o:hr="t"/>
        </w:pict>
      </w:r>
    </w:p>
    <w:bookmarkEnd w:id="27"/>
    <w:bookmarkEnd w:id="28"/>
    <w:bookmarkStart w:id="38" w:name="calculate-emissions"/>
    <w:p>
      <w:pPr>
        <w:pStyle w:val="Heading2"/>
      </w:pPr>
      <w:r>
        <w:t xml:space="preserve">4. Calculate Emissions</w:t>
      </w:r>
    </w:p>
    <w:p>
      <w:pPr>
        <w:pStyle w:val="FirstParagraph"/>
      </w:pPr>
      <w:r>
        <w:t xml:space="preserve">Emissions are calculated for each lifecycle stage and categorized according to the GHG Protocol into Scope 1, Scope 2, and Scope 3.</w:t>
      </w:r>
    </w:p>
    <w:bookmarkStart w:id="29" w:name="scope-1-emissions-direct-emissions"/>
    <w:p>
      <w:pPr>
        <w:pStyle w:val="Heading3"/>
      </w:pPr>
      <w:r>
        <w:t xml:space="preserve">4.1. Scope 1 Emissions (Direct Emissions)</w:t>
      </w:r>
    </w:p>
    <w:p>
      <w:pPr>
        <w:pStyle w:val="FirstParagraph"/>
      </w:pPr>
      <w:r>
        <w:t xml:space="preserve">For a \'factory_gate\' system boundary focusing on PCF, direct Scope 1 emissions primarily relate to fuel combustion in company-owned or controlled vehicles/equipment at the production facility. Given the parameters, no specific Scope 1 data for wnumpvpnri production was provided (e.g., on-site boiler fuel). Therefore, these emissions are assumed negligible for this product-level analysis, or are considered to be embedded within the upstream electricity/material impacts if not directly attributable at the product manufacturing facility.</w:t>
      </w:r>
    </w:p>
    <w:p>
      <w:pPr>
        <w:pStyle w:val="BodyText"/>
      </w:pPr>
      <w:r>
        <w:rPr>
          <w:bCs/>
          <w:b/>
        </w:rPr>
        <w:t xml:space="preserve">Calculated Scope 1 Emissions: 0.0 kgCO2e/unit (assumed negligible/not provided).</w:t>
      </w:r>
    </w:p>
    <w:bookmarkEnd w:id="29"/>
    <w:bookmarkStart w:id="30" w:name="scope-2-emissions-purchased-energy"/>
    <w:p>
      <w:pPr>
        <w:pStyle w:val="Heading3"/>
      </w:pPr>
      <w:r>
        <w:t xml:space="preserve">4.2. Scope 2 Emissions (Purchased Energy)</w:t>
      </w:r>
    </w:p>
    <w:p>
      <w:pPr>
        <w:pStyle w:val="FirstParagraph"/>
      </w:pPr>
      <w:r>
        <w:t xml:space="preserve">These emissions result from the generation of purchased electricity for the production process.</w:t>
      </w:r>
    </w:p>
    <w:p>
      <w:pPr>
        <w:numPr>
          <w:ilvl w:val="0"/>
          <w:numId w:val="1009"/>
        </w:numPr>
        <w:pStyle w:val="Compact"/>
      </w:pPr>
      <w:r>
        <w:t xml:space="preserve">Total energy consumed: 10 kWh/unit</w:t>
      </w:r>
    </w:p>
    <w:p>
      <w:pPr>
        <w:numPr>
          <w:ilvl w:val="0"/>
          <w:numId w:val="1009"/>
        </w:numPr>
        <w:pStyle w:val="Compact"/>
      </w:pPr>
      <w:r>
        <w:t xml:space="preserve">Renewable energy: 75% * 10 kWh = 7.5 kWh (0 kgCO2e due to robust tracking)</w:t>
      </w:r>
    </w:p>
    <w:p>
      <w:pPr>
        <w:numPr>
          <w:ilvl w:val="0"/>
          <w:numId w:val="1009"/>
        </w:numPr>
        <w:pStyle w:val="Compact"/>
      </w:pPr>
      <w:r>
        <w:t xml:space="preserve">Non-renewable energy: 25% * 10 kWh = 2.5 kWh</w:t>
      </w:r>
    </w:p>
    <w:p>
      <w:pPr>
        <w:numPr>
          <w:ilvl w:val="0"/>
          <w:numId w:val="1009"/>
        </w:numPr>
        <w:pStyle w:val="Compact"/>
      </w:pPr>
      <w:r>
        <w:t xml:space="preserve">Emission from non-renewable energy: 2.5 kWh * 0.6 kgCO2e/kWh (China grid) = 1.5 kgCO2e/unit</w:t>
      </w:r>
    </w:p>
    <w:p>
      <w:pPr>
        <w:pStyle w:val="FirstParagraph"/>
      </w:pPr>
      <w:r>
        <w:rPr>
          <w:bCs/>
          <w:b/>
        </w:rPr>
        <w:t xml:space="preserve">Calculated Scope 2 Emissions: 1.5 kgCO2e/unit.</w:t>
      </w:r>
    </w:p>
    <w:bookmarkEnd w:id="30"/>
    <w:bookmarkStart w:id="36" w:name="scope-3-emissions-value-chain-emissions"/>
    <w:p>
      <w:pPr>
        <w:pStyle w:val="Heading3"/>
      </w:pPr>
      <w:r>
        <w:t xml:space="preserve">4.3. Scope 3 Emissions (Value Chain Emissions)</w:t>
      </w:r>
    </w:p>
    <w:p>
      <w:pPr>
        <w:pStyle w:val="FirstParagraph"/>
      </w:pPr>
      <w:r>
        <w:t xml:space="preserve">Scope 3 emissions encompass all other indirect emissions both upstream and downstream in the value chain. This analysis aims for at least 95% coverage as per 2026 requirements.</w:t>
      </w:r>
    </w:p>
    <w:bookmarkStart w:id="31" w:name="X9f34c77805dd125ffa340be6a7b981da3824549"/>
    <w:p>
      <w:pPr>
        <w:pStyle w:val="Heading4"/>
      </w:pPr>
      <w:r>
        <w:t xml:space="preserve">4.3.1. Category 1: Purchased Goods and Services (Upstream Materials &amp; Transport)</w:t>
      </w:r>
    </w:p>
    <w:p>
      <w:pPr>
        <w:pStyle w:val="FirstParagraph"/>
      </w:pPr>
      <w:r>
        <w:t xml:space="preserve">This includes emissions from the extraction, production, and transportation of raw materials and components for wnumpvpnri.</w:t>
      </w:r>
    </w:p>
    <w:p>
      <w:pPr>
        <w:numPr>
          <w:ilvl w:val="0"/>
          <w:numId w:val="1010"/>
        </w:numPr>
        <w:pStyle w:val="Compact"/>
      </w:pPr>
      <w:r>
        <w:t xml:space="preserve">Total Material Carbon Footprint (from BOM table): 24.35 kgCO2e/unit</w:t>
      </w:r>
    </w:p>
    <w:p>
      <w:pPr>
        <w:numPr>
          <w:ilvl w:val="0"/>
          <w:numId w:val="1010"/>
        </w:numPr>
        <w:pStyle w:val="Compact"/>
      </w:pPr>
      <w:r>
        <w:rPr>
          <w:bCs/>
          <w:b/>
        </w:rPr>
        <w:t xml:space="preserve">Upstream Material Transport:</w:t>
      </w:r>
    </w:p>
    <w:p>
      <w:pPr>
        <w:numPr>
          <w:ilvl w:val="1"/>
          <w:numId w:val="1011"/>
        </w:numPr>
        <w:pStyle w:val="Compact"/>
      </w:pPr>
      <w:r>
        <w:t xml:space="preserve">Assumed average total inbound material weight for transport: 2.0 kg per unit.</w:t>
      </w:r>
    </w:p>
    <w:p>
      <w:pPr>
        <w:numPr>
          <w:ilvl w:val="1"/>
          <w:numId w:val="1011"/>
        </w:numPr>
        <w:pStyle w:val="Compact"/>
      </w:pPr>
      <w:r>
        <w:t xml:space="preserve">Ocean freight (Europe to China): 0.002 tonnes * 10,000 km * 0.016 kgCO2e/tkm = 0.32 kgCO2e/unit.</w:t>
      </w:r>
    </w:p>
    <w:p>
      <w:pPr>
        <w:numPr>
          <w:ilvl w:val="1"/>
          <w:numId w:val="1011"/>
        </w:numPr>
        <w:pStyle w:val="Compact"/>
      </w:pPr>
      <w:r>
        <w:t xml:space="preserve">Road freight (within Europe/China): 0.002 tonnes * 500 km * 0.09 kgCO2e/tkm = 0.09 kgCO2e/unit.</w:t>
      </w:r>
    </w:p>
    <w:p>
      <w:pPr>
        <w:numPr>
          <w:ilvl w:val="1"/>
          <w:numId w:val="1011"/>
        </w:numPr>
        <w:pStyle w:val="Compact"/>
      </w:pPr>
      <w:r>
        <w:t xml:space="preserve">Total Upstream Transport: 0.32 + 0.09 = 0.41 kgCO2e/unit.</w:t>
      </w:r>
    </w:p>
    <w:p>
      <w:pPr>
        <w:pStyle w:val="FirstParagraph"/>
      </w:pPr>
      <w:r>
        <w:rPr>
          <w:bCs/>
          <w:b/>
        </w:rPr>
        <w:t xml:space="preserve">Subtotal Scope 3, Category 1: 24.35 (materials) + 0.41 (upstream transport) = 24.76 kgCO2e/unit.</w:t>
      </w:r>
    </w:p>
    <w:bookmarkEnd w:id="31"/>
    <w:bookmarkStart w:id="32" w:name="X1a6415eb80ef94afd28257de08a26238ae7f07a"/>
    <w:p>
      <w:pPr>
        <w:pStyle w:val="Heading4"/>
      </w:pPr>
      <w:r>
        <w:t xml:space="preserve">4.3.2. Category 11: Use of Sold Products (Operational Life)</w:t>
      </w:r>
    </w:p>
    <w:p>
      <w:pPr>
        <w:pStyle w:val="FirstParagraph"/>
      </w:pPr>
      <w:r>
        <w:t xml:space="preserve">Emissions from the energy consumed by wnumpvpnri during its 5-year lifespan.</w:t>
      </w:r>
    </w:p>
    <w:p>
      <w:pPr>
        <w:numPr>
          <w:ilvl w:val="0"/>
          <w:numId w:val="1012"/>
        </w:numPr>
        <w:pStyle w:val="Compact"/>
      </w:pPr>
      <w:r>
        <w:t xml:space="preserve">Annual energy consumption: 20 kWh/year</w:t>
      </w:r>
    </w:p>
    <w:p>
      <w:pPr>
        <w:numPr>
          <w:ilvl w:val="0"/>
          <w:numId w:val="1012"/>
        </w:numPr>
        <w:pStyle w:val="Compact"/>
      </w:pPr>
      <w:r>
        <w:t xml:space="preserve">Total lifespan energy: 20 kWh/year * 5 years = 100 kWh</w:t>
      </w:r>
    </w:p>
    <w:p>
      <w:pPr>
        <w:numPr>
          <w:ilvl w:val="0"/>
          <w:numId w:val="1012"/>
        </w:numPr>
        <w:pStyle w:val="Compact"/>
      </w:pPr>
      <w:r>
        <w:t xml:space="preserve">Emissions: 100 kWh * 0.4 kgCO2e/kWh (global average grid) = 40.0 kgCO2e/unit</w:t>
      </w:r>
    </w:p>
    <w:p>
      <w:pPr>
        <w:pStyle w:val="FirstParagraph"/>
      </w:pPr>
      <w:r>
        <w:rPr>
          <w:bCs/>
          <w:b/>
        </w:rPr>
        <w:t xml:space="preserve">Subtotal Scope 3, Category 11: 40.0 kgCO2e/unit.</w:t>
      </w:r>
    </w:p>
    <w:bookmarkEnd w:id="32"/>
    <w:bookmarkStart w:id="33" w:name="Xe6a609cc71639c4bb5b5bcd247c776c9d89fa33"/>
    <w:p>
      <w:pPr>
        <w:pStyle w:val="Heading4"/>
      </w:pPr>
      <w:r>
        <w:t xml:space="preserve">4.3.3. Category 9: Downstream Transportation and Distribution (Last-Mile Delivery)</w:t>
      </w:r>
    </w:p>
    <w:p>
      <w:pPr>
        <w:pStyle w:val="FirstParagraph"/>
      </w:pPr>
      <w:r>
        <w:t xml:space="preserve">Emissions from the transport of the finished product from the factory gate to the customer.</w:t>
      </w:r>
    </w:p>
    <w:p>
      <w:pPr>
        <w:numPr>
          <w:ilvl w:val="0"/>
          <w:numId w:val="1013"/>
        </w:numPr>
        <w:pStyle w:val="Compact"/>
      </w:pPr>
      <w:r>
        <w:t xml:space="preserve">Last-mile distance: 50 km</w:t>
      </w:r>
    </w:p>
    <w:p>
      <w:pPr>
        <w:numPr>
          <w:ilvl w:val="0"/>
          <w:numId w:val="1013"/>
        </w:numPr>
        <w:pStyle w:val="Compact"/>
      </w:pPr>
      <w:r>
        <w:t xml:space="preserve">Emission factor (Van delivery): 0.25 kgCO2e/km</w:t>
      </w:r>
    </w:p>
    <w:p>
      <w:pPr>
        <w:numPr>
          <w:ilvl w:val="0"/>
          <w:numId w:val="1013"/>
        </w:numPr>
        <w:pStyle w:val="Compact"/>
      </w:pPr>
      <w:r>
        <w:t xml:space="preserve">Emissions: 50 km * 0.25 kgCO2e/km = 12.5 kgCO2e/unit</w:t>
      </w:r>
    </w:p>
    <w:p>
      <w:pPr>
        <w:pStyle w:val="FirstParagraph"/>
      </w:pPr>
      <w:r>
        <w:rPr>
          <w:bCs/>
          <w:b/>
        </w:rPr>
        <w:t xml:space="preserve">Subtotal Scope 3, Category 9: 12.5 kgCO2e/unit.</w:t>
      </w:r>
    </w:p>
    <w:bookmarkEnd w:id="33"/>
    <w:bookmarkStart w:id="34" w:name="X9f66eef2700632e081dfe139021cb724ffcd2c5"/>
    <w:p>
      <w:pPr>
        <w:pStyle w:val="Heading4"/>
      </w:pPr>
      <w:r>
        <w:t xml:space="preserve">4.3.4. Category 12: End-of-Life Treatment of Sold Products</w:t>
      </w:r>
    </w:p>
    <w:p>
      <w:pPr>
        <w:pStyle w:val="FirstParagraph"/>
      </w:pPr>
      <w:r>
        <w:t xml:space="preserve">Emissions and avoided emissions related to the disposal and recycling of wnumpvpnri.</w:t>
      </w:r>
    </w:p>
    <w:p>
      <w:pPr>
        <w:numPr>
          <w:ilvl w:val="0"/>
          <w:numId w:val="1014"/>
        </w:numPr>
        <w:pStyle w:val="Compact"/>
      </w:pPr>
      <w:r>
        <w:t xml:space="preserve">Total product weight (estimated for EoL): 1.5 kg.</w:t>
      </w:r>
    </w:p>
    <w:p>
      <w:pPr>
        <w:numPr>
          <w:ilvl w:val="0"/>
          <w:numId w:val="1014"/>
        </w:numPr>
        <w:pStyle w:val="Compact"/>
      </w:pPr>
      <w:r>
        <w:t xml:space="preserve">Recycled portion: 80% * 1.5 kg = 1.2 kg</w:t>
      </w:r>
    </w:p>
    <w:p>
      <w:pPr>
        <w:numPr>
          <w:ilvl w:val="0"/>
          <w:numId w:val="1014"/>
        </w:numPr>
        <w:pStyle w:val="Compact"/>
      </w:pPr>
      <w:r>
        <w:t xml:space="preserve">Non-recycled portion: 20% * 1.5 kg = 0.3 kg</w:t>
      </w:r>
    </w:p>
    <w:p>
      <w:pPr>
        <w:numPr>
          <w:ilvl w:val="0"/>
          <w:numId w:val="1014"/>
        </w:numPr>
        <w:pStyle w:val="Compact"/>
      </w:pPr>
      <w:r>
        <w:t xml:space="preserve">Emissions from non-recycled: 0.3 kg * 1.5 kgCO2e/kg = 0.45 kgCO2e</w:t>
      </w:r>
    </w:p>
    <w:p>
      <w:pPr>
        <w:numPr>
          <w:ilvl w:val="0"/>
          <w:numId w:val="1014"/>
        </w:numPr>
        <w:pStyle w:val="Compact"/>
      </w:pPr>
      <w:r>
        <w:t xml:space="preserve">Avoided emissions from recycling: -1.2 kg * 1.0 kgCO2e/kg = -1.2 kgCO2e (Credit for displaced virgin material production)</w:t>
      </w:r>
    </w:p>
    <w:p>
      <w:pPr>
        <w:numPr>
          <w:ilvl w:val="0"/>
          <w:numId w:val="1014"/>
        </w:numPr>
        <w:pStyle w:val="Compact"/>
      </w:pPr>
      <w:r>
        <w:t xml:space="preserve">Net EoL Emissions: 0.45 - 1.2 = -0.75 kgCO2e/unit (a net carbon sink due to high recyclability and program effectiveness under assumed parameters).</w:t>
      </w:r>
    </w:p>
    <w:p>
      <w:pPr>
        <w:pStyle w:val="FirstParagraph"/>
      </w:pPr>
      <w:r>
        <w:rPr>
          <w:bCs/>
          <w:b/>
        </w:rPr>
        <w:t xml:space="preserve">Subtotal Scope 3, Category 12: -0.75 kgCO2e/unit.</w:t>
      </w:r>
    </w:p>
    <w:bookmarkEnd w:id="34"/>
    <w:bookmarkStart w:id="35" w:name="application-of-2026-lsr-update"/>
    <w:p>
      <w:pPr>
        <w:pStyle w:val="Heading4"/>
      </w:pPr>
      <w:r>
        <w:t xml:space="preserve">4.3.5. Application of 2026 LSR Update</w:t>
      </w:r>
    </w:p>
    <w:p>
      <w:pPr>
        <w:pStyle w:val="FirstParagraph"/>
      </w:pPr>
      <w:r>
        <w:t xml:space="preserve">The Land Sector and Removals (LSR) Standard, published January 30, 2026, and effective January 1, 2027, is acknowledged for its role in transparently tracking land-related emissions and removals. While comprehensive guidance for its implementation is expected in Q2 2026, its principles are applied. Carbon removals due to circular economy actions (e.g., recycling, as considered in Category 12) are inherently factored. This version of the LSR Standard does not yet include detailed forest carbon accounting. For wnumpvpnri, given the industrial materials, direct land-use change (LUC) or forestry-related emissions are considered negligible unless specific agricultural or forestry products were significant components with known LUC impacts, which were not provided in the parameters.</w:t>
      </w:r>
    </w:p>
    <w:p>
      <w:pPr>
        <w:pStyle w:val="BodyText"/>
      </w:pPr>
      <w:r>
        <w:rPr>
          <w:bCs/>
          <w:b/>
        </w:rPr>
        <w:t xml:space="preserve">Scope 3 Coverage Assessment:</w:t>
      </w:r>
      <w:r>
        <w:t xml:space="preserve"> </w:t>
      </w:r>
      <w:r>
        <w:t xml:space="preserve">With detailed BOM, production energy, transport, use phase, and EoL, a high coverage (well over 95%) of significant Scope 3 categories is achieved, aligning with 2026 requirements. Other categories (e.g., business travel, employee commuting, capital goods) are considered outside the product\'s direct PCF boundary but would be part of a corporate GHG inventory.</w:t>
      </w:r>
    </w:p>
    <w:bookmarkEnd w:id="35"/>
    <w:bookmarkEnd w:id="36"/>
    <w:bookmarkStart w:id="37" w:name="X299a3717db401fbc63eac38de0814f3ad8939f4"/>
    <w:p>
      <w:pPr>
        <w:pStyle w:val="Heading3"/>
      </w:pPr>
      <w:r>
        <w:t xml:space="preserve">4.4. Total Product Carbon Footprint (PCF) Summary</w:t>
      </w:r>
    </w:p>
    <w:p>
      <w:pPr>
        <w:pStyle w:val="FirstParagraph"/>
      </w:pPr>
      <w:r>
        <w:t xml:space="preserve">The table below summarizes the calculated emissions across all relevant scopes and categories.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(Assumed negligible/not provided)</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Manufacturing energy (non-renewable share)</w:t>
            </w:r>
          </w:p>
        </w:tc>
        <w:tc>
          <w:tcPr/>
          <w:p>
            <w:pPr>
              <w:pStyle w:val="Compact"/>
              <w:jc w:val="left"/>
            </w:pPr>
            <w:r>
              <w:t xml:space="preserve">1.50</w:t>
            </w:r>
          </w:p>
        </w:tc>
      </w:tr>
      <w:tr>
        <w:tc>
          <w:tcPr>
            <w:vMerge w:val="restart"/>
          </w:tcPr>
          <w:p>
            <w:pPr>
              <w:pStyle w:val="Compact"/>
              <w:jc w:val="left"/>
            </w:pPr>
            <w:r>
              <w:t xml:space="preserve">Scope 3</w:t>
            </w:r>
          </w:p>
        </w:tc>
        <w:tc>
          <w:tcPr/>
          <w:p>
            <w:pPr>
              <w:pStyle w:val="Compact"/>
              <w:jc w:val="left"/>
            </w:pPr>
            <w:r>
              <w:t xml:space="preserve">Category 1</w:t>
            </w:r>
          </w:p>
        </w:tc>
        <w:tc>
          <w:tcPr/>
          <w:p>
            <w:pPr>
              <w:pStyle w:val="Compact"/>
              <w:jc w:val="left"/>
            </w:pPr>
            <w:r>
              <w:t xml:space="preserve">Purchased Goods &amp; Services (Materials &amp; Upstream Transport)</w:t>
            </w:r>
          </w:p>
        </w:tc>
        <w:tc>
          <w:tcPr/>
          <w:p>
            <w:pPr>
              <w:pStyle w:val="Compact"/>
              <w:jc w:val="left"/>
            </w:pPr>
            <w:r>
              <w:t xml:space="preserve">24.76</w:t>
            </w:r>
          </w:p>
        </w:tc>
      </w:tr>
      <w:tr>
        <w:tc>
          <w:tcPr>
            <w:gridSpan w:val="1"/>
            <w:vMerge w:val="continue"/>
          </w:tcPr>
          <w:p>
            <w:pPr/>
          </w:p>
        </w:tc>
        <w:tc>
          <w:tcPr/>
          <w:p>
            <w:pPr>
              <w:pStyle w:val="Compact"/>
              <w:jc w:val="left"/>
            </w:pPr>
            <w:r>
              <w:t xml:space="preserve">Category 9</w:t>
            </w:r>
          </w:p>
        </w:tc>
        <w:tc>
          <w:tcPr/>
          <w:p>
            <w:pPr>
              <w:pStyle w:val="Compact"/>
              <w:jc w:val="left"/>
            </w:pPr>
            <w:r>
              <w:t xml:space="preserve">Downstream Transportation &amp; Distribution (Last-Mile)</w:t>
            </w:r>
          </w:p>
        </w:tc>
        <w:tc>
          <w:tcPr/>
          <w:p>
            <w:pPr>
              <w:pStyle w:val="Compact"/>
              <w:jc w:val="left"/>
            </w:pPr>
            <w:r>
              <w:t xml:space="preserve">12.50</w:t>
            </w:r>
          </w:p>
        </w:tc>
      </w:tr>
      <w:tr>
        <w:tc>
          <w:tcPr>
            <w:gridSpan w:val="1"/>
            <w:vMerge w:val="continue"/>
          </w:tcPr>
          <w:p>
            <w:pPr/>
          </w:p>
        </w:tc>
        <w:tc>
          <w:tcPr/>
          <w:p>
            <w:pPr>
              <w:pStyle w:val="Compact"/>
              <w:jc w:val="left"/>
            </w:pPr>
            <w:r>
              <w:t xml:space="preserve">Category 11</w:t>
            </w:r>
          </w:p>
        </w:tc>
        <w:tc>
          <w:tcPr/>
          <w:p>
            <w:pPr>
              <w:pStyle w:val="Compact"/>
              <w:jc w:val="left"/>
            </w:pPr>
            <w:r>
              <w:t xml:space="preserve">Use of Sold Products (Energy Consumption)</w:t>
            </w:r>
          </w:p>
        </w:tc>
        <w:tc>
          <w:tcPr/>
          <w:p>
            <w:pPr>
              <w:pStyle w:val="Compact"/>
              <w:jc w:val="left"/>
            </w:pPr>
            <w:r>
              <w:t xml:space="preserve">40.00</w:t>
            </w:r>
          </w:p>
        </w:tc>
      </w:tr>
      <w:tr>
        <w:tc>
          <w:tcPr>
            <w:gridSpan w:val="1"/>
            <w:vMerge w:val="continue"/>
          </w:tcPr>
          <w:p>
            <w:pPr/>
          </w:p>
        </w:tc>
        <w:tc>
          <w:tcPr/>
          <w:p>
            <w:pPr>
              <w:pStyle w:val="Compact"/>
              <w:jc w:val="left"/>
            </w:pPr>
            <w:r>
              <w:t xml:space="preserve">Category 12</w:t>
            </w:r>
          </w:p>
        </w:tc>
        <w:tc>
          <w:tcPr/>
          <w:p>
            <w:pPr>
              <w:pStyle w:val="Compact"/>
              <w:jc w:val="left"/>
            </w:pPr>
            <w:r>
              <w:t xml:space="preserve">End-of-Life Treatment of Sold Products (Net)</w:t>
            </w:r>
          </w:p>
        </w:tc>
        <w:tc>
          <w:tcPr/>
          <w:p>
            <w:pPr>
              <w:pStyle w:val="Compact"/>
              <w:jc w:val="left"/>
            </w:pPr>
            <w:r>
              <w:t xml:space="preserve">-0.75</w:t>
            </w:r>
          </w:p>
        </w:tc>
      </w:tr>
      <w:tr>
        <w:tc>
          <w:tcPr>
            <w:gridSpan w:val="3"/>
          </w:tcPr>
          <w:p>
            <w:pPr>
              <w:pStyle w:val="Compact"/>
              <w:jc w:val="left"/>
            </w:pPr>
            <w:r>
              <w:rPr>
                <w:bCs/>
                <w:b/>
              </w:rPr>
              <w:t xml:space="preserve">Total Product Carbon Footprint (PCF)</w:t>
            </w:r>
          </w:p>
        </w:tc>
        <w:tc>
          <w:tcPr/>
          <w:p>
            <w:pPr>
              <w:pStyle w:val="Compact"/>
              <w:jc w:val="left"/>
            </w:pPr>
            <w:r>
              <w:rPr>
                <w:bCs/>
                <w:b/>
              </w:rPr>
              <w:t xml:space="preserve">78.01 kgCO2e/unit</w:t>
            </w:r>
          </w:p>
        </w:tc>
      </w:tr>
    </w:tbl>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the analysis, the primary emission hotspots for wnumpvpnri are:</w:t>
      </w:r>
    </w:p>
    <w:p>
      <w:pPr>
        <w:numPr>
          <w:ilvl w:val="0"/>
          <w:numId w:val="1015"/>
        </w:numPr>
        <w:pStyle w:val="Compact"/>
      </w:pPr>
      <w:r>
        <w:rPr>
          <w:bCs/>
          <w:b/>
        </w:rPr>
        <w:t xml:space="preserve">Use Phase (51.3%):</w:t>
      </w:r>
      <w:r>
        <w:t xml:space="preserve"> </w:t>
      </w:r>
      <w:r>
        <w:t xml:space="preserve">Energy consumption during the product\'s operational lifespan is the largest contributor to its PCF. This highlights the importance of energy efficiency during product design and user behavior.</w:t>
      </w:r>
    </w:p>
    <w:p>
      <w:pPr>
        <w:numPr>
          <w:ilvl w:val="0"/>
          <w:numId w:val="1015"/>
        </w:numPr>
        <w:pStyle w:val="Compact"/>
      </w:pPr>
      <w:r>
        <w:rPr>
          <w:bCs/>
          <w:b/>
        </w:rPr>
        <w:t xml:space="preserve">Purchased Goods and Services (31.7%):</w:t>
      </w:r>
      <w:r>
        <w:t xml:space="preserve"> </w:t>
      </w:r>
      <w:r>
        <w:t xml:space="preserve">The embodied emissions in raw materials and components, particularly primary aluminum and the lithium-ion battery, represent the second largest hotspot, including their upstream transport.</w:t>
      </w:r>
    </w:p>
    <w:p>
      <w:pPr>
        <w:numPr>
          <w:ilvl w:val="0"/>
          <w:numId w:val="1015"/>
        </w:numPr>
        <w:pStyle w:val="Compact"/>
      </w:pPr>
      <w:r>
        <w:rPr>
          <w:bCs/>
          <w:b/>
        </w:rPr>
        <w:t xml:space="preserve">Downstream Transportation (16.0%):</w:t>
      </w:r>
      <w:r>
        <w:t xml:space="preserve"> </w:t>
      </w:r>
      <w:r>
        <w:t xml:space="preserve">Last-mile delivery significantly contributes, indicating potential for optimization in logistics and distribution strategies.</w:t>
      </w:r>
    </w:p>
    <w:p>
      <w:pPr>
        <w:numPr>
          <w:ilvl w:val="0"/>
          <w:numId w:val="1015"/>
        </w:numPr>
        <w:pStyle w:val="Compact"/>
      </w:pPr>
      <w:r>
        <w:rPr>
          <w:bCs/>
          <w:b/>
        </w:rPr>
        <w:t xml:space="preserve">Manufacturing Energy (1.9%):</w:t>
      </w:r>
      <w:r>
        <w:t xml:space="preserve"> </w:t>
      </w:r>
      <w:r>
        <w:t xml:space="preserve">While relatively small due to high renewable energy usage (75%), the remaining non-renewable electricity still contributes.</w:t>
      </w:r>
    </w:p>
    <w:bookmarkEnd w:id="39"/>
    <w:bookmarkStart w:id="40" w:name="reliability-statement"/>
    <w:p>
      <w:pPr>
        <w:pStyle w:val="Heading3"/>
      </w:pPr>
      <w:r>
        <w:t xml:space="preserve">5.2. Reliability Statement</w:t>
      </w:r>
    </w:p>
    <w:p>
      <w:pPr>
        <w:pStyle w:val="FirstParagraph"/>
      </w:pPr>
      <w:r>
        <w:t xml:space="preserve">The reliability of this PCF analysis is high given the explicit use of detailed Bill of Materials, specific energy consumption, and transport parameters. The application of industry-standard emission factors (e.g., derived from Ecoinvent/DEFRA type databases) and adherence to the GHG Protocol ensures a robust methodology. However, the accuracy is directly dependent on the precision and representativeness of the input data. Assumptions for generic emission factors and average transport distances introduce some level of uncertainty, which could be reduced with supplier-specific primary data. The conservative approach to avoided emissions in EoL provides a realistic net benefit.</w:t>
      </w:r>
    </w:p>
    <w:bookmarkEnd w:id="40"/>
    <w:bookmarkStart w:id="42" w:name="recommendations-for-impact-reduction"/>
    <w:p>
      <w:pPr>
        <w:pStyle w:val="Heading3"/>
      </w:pPr>
      <w:r>
        <w:t xml:space="preserve">5.3. Recommendations for Impact Reduction</w:t>
      </w:r>
    </w:p>
    <w:p>
      <w:pPr>
        <w:numPr>
          <w:ilvl w:val="0"/>
          <w:numId w:val="1016"/>
        </w:numPr>
        <w:pStyle w:val="Compact"/>
      </w:pPr>
      <w:r>
        <w:rPr>
          <w:bCs/>
          <w:b/>
        </w:rPr>
        <w:t xml:space="preserve">Optimize Use Phase Efficiency:</w:t>
      </w:r>
      <w:r>
        <w:t xml:space="preserve"> </w:t>
      </w:r>
      <w:r>
        <w:t xml:space="preserve">Focus on designing wnumpvpnri for even greater energy efficiency during its operational life. Explore low-power modes, longer lifespan, and user education on efficient usage.</w:t>
      </w:r>
    </w:p>
    <w:p>
      <w:pPr>
        <w:numPr>
          <w:ilvl w:val="0"/>
          <w:numId w:val="1016"/>
        </w:numPr>
        <w:pStyle w:val="Compact"/>
      </w:pPr>
      <w:r>
        <w:rPr>
          <w:bCs/>
          <w:b/>
        </w:rPr>
        <w:t xml:space="preserve">Material Decarbonization &amp; Circularity:</w:t>
      </w:r>
      <w:r>
        <w:t xml:space="preserve"> </w:t>
      </w:r>
      <w:r>
        <w:t xml:space="preserve">Investigate options for lower-carbon materials, such as increased use of recycled aluminum or bio-based plastics. Strengthen partnerships with suppliers committed to decarbonization.</w:t>
      </w:r>
    </w:p>
    <w:p>
      <w:pPr>
        <w:numPr>
          <w:ilvl w:val="0"/>
          <w:numId w:val="1016"/>
        </w:numPr>
        <w:pStyle w:val="Compact"/>
      </w:pPr>
      <w:r>
        <w:rPr>
          <w:bCs/>
          <w:b/>
        </w:rPr>
        <w:t xml:space="preserve">Green Logistics:</w:t>
      </w:r>
      <w:r>
        <w:t xml:space="preserve"> </w:t>
      </w:r>
      <w:r>
        <w:t xml:space="preserve">Optimize transport routes and modes for both inbound materials and last-mile delivery. Explore electric vehicles for last-mile and efficient freight options for upstream logistics.</w:t>
      </w:r>
    </w:p>
    <w:p>
      <w:pPr>
        <w:numPr>
          <w:ilvl w:val="0"/>
          <w:numId w:val="1016"/>
        </w:numPr>
        <w:pStyle w:val="Compact"/>
      </w:pPr>
      <w:r>
        <w:rPr>
          <w:bCs/>
          <w:b/>
        </w:rPr>
        <w:t xml:space="preserve">Enhance Circular Economy Programs:</w:t>
      </w:r>
      <w:r>
        <w:t xml:space="preserve"> </w:t>
      </w:r>
      <w:r>
        <w:t xml:space="preserve">Continue to strengthen take-back and recycling programs, exploring product-as-a-service models or advanced recycling technologies to maximize material recovery and extend product utility.</w:t>
      </w:r>
    </w:p>
    <w:p>
      <w:r>
        <w:pict>
          <v:rect style="width:0;height:1.5pt" o:hralign="center" o:hrstd="t" o:hr="t"/>
        </w:pict>
      </w:r>
    </w:p>
    <w:p>
      <w:pPr>
        <w:pStyle w:val="FirstParagraph"/>
      </w:pPr>
      <w:r>
        <w:t xml:space="preserve">Confidential - Internal Use Only | Page</w:t>
      </w:r>
      <w:r>
        <w:t xml:space="preserve"> </w:t>
      </w:r>
      <w:bookmarkStart w:id="41" w:name="page-num"/>
      <w:bookmarkEnd w:id="41"/>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wnumpvpnri</dc:title>
  <dc:creator/>
  <dc:description>High-detail Product Carbon Footprint (PCF) analysis for wnumpvpnri, adhering to GHG Protocol and 2026 LSR Update, performed by dyphjfnyst for ispimfoqlq.</dc:description>
  <dc:language>en</dc:language>
  <cp:keywords/>
  <dcterms:created xsi:type="dcterms:W3CDTF">2026-07-17T03:59:44Z</dcterms:created>
  <dcterms:modified xsi:type="dcterms:W3CDTF">2026-07-17T03:59:44Z</dcterms:modified>
</cp:coreProperties>
</file>

<file path=docProps/custom.xml><?xml version="1.0" encoding="utf-8"?>
<Properties xmlns="http://schemas.openxmlformats.org/officeDocument/2006/custom-properties" xmlns:vt="http://schemas.openxmlformats.org/officeDocument/2006/docPropsVTypes"/>
</file>