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wmiuemfikw</w:t>
      </w:r>
      <w:r>
        <w:t xml:space="preserve"> </w:t>
      </w:r>
      <w:r>
        <w:t xml:space="preserve">-</w:t>
      </w:r>
      <w:r>
        <w:t xml:space="preserve"> </w:t>
      </w:r>
      <w:r>
        <w:t xml:space="preserve">donntnuyxd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wmiuemfikw</w:t>
      </w:r>
    </w:p>
    <w:p>
      <w:pPr>
        <w:pStyle w:val="BodyText"/>
      </w:pPr>
      <w:r>
        <w:t xml:space="preserve">Company: donntnuyxd</w:t>
      </w:r>
    </w:p>
    <w:p>
      <w:pPr>
        <w:pStyle w:val="BodyText"/>
      </w:pPr>
      <w:r>
        <w:t xml:space="preserve">Senior Sustainability Consultant: ngusnppemk</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emissions may vary due to specific operational details, supply chain complexities, and evolving data availability. The calculations provided herein use illustrative values for parameters where specific numerical data was represented by placeholder strings, to demonstrate the methodology.</w:t>
      </w:r>
    </w:p>
    <w:bookmarkEnd w:id="20"/>
    <w:p>
      <w:pPr>
        <w:pStyle w:val="BodyText"/>
      </w:pPr>
      <w:r>
        <w:t xml:space="preserve">Generated Date: May 26, 2026</w:t>
      </w:r>
    </w:p>
    <w:bookmarkStart w:id="47" w:name="X6e3d2afd271ba230030b517933b17d25f6a15fa"/>
    <w:p>
      <w:pPr>
        <w:pStyle w:val="Heading1"/>
      </w:pPr>
      <w:r>
        <w:t xml:space="preserve">Product Carbon Footprint (PCF) Analysis Report for wmiuemfikw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wmiuemfikw</w:t>
      </w:r>
      <w:r>
        <w:t xml:space="preserve">, manufactured by</w:t>
      </w:r>
      <w:r>
        <w:t xml:space="preserve"> </w:t>
      </w:r>
      <w:r>
        <w:rPr>
          <w:bCs/>
          <w:b/>
        </w:rPr>
        <w:t xml:space="preserve">donntnuyxd</w:t>
      </w:r>
      <w:r>
        <w:t xml:space="preserve">. Conducted by Senior Sustainability Consultant</w:t>
      </w:r>
      <w:r>
        <w:t xml:space="preserve"> </w:t>
      </w:r>
      <w:r>
        <w:rPr>
          <w:bCs/>
          <w:b/>
        </w:rPr>
        <w:t xml:space="preserve">ngusnppemk</w:t>
      </w:r>
      <w:r>
        <w:t xml:space="preserve">, this analysis adheres strictly to the GHG Protocol\'s Product Standard, incorporating the latest 2026 Land Sector and Removals (LSR) Standard updates and targeting over 95% Scope 3 coverage. The primary goal is to quantify the greenhouse gas (GHG) emissions associated with the product across its lifecycle, from material acquisition to end-of-life, to identify key emission hotspots and guide strategic sustainability improvements.</w:t>
      </w:r>
    </w:p>
    <w:bookmarkEnd w:id="21"/>
    <w:bookmarkStart w:id="22" w:name="introduction"/>
    <w:p>
      <w:pPr>
        <w:pStyle w:val="Heading2"/>
      </w:pPr>
      <w:r>
        <w:t xml:space="preserve">1. Introduction</w:t>
      </w:r>
    </w:p>
    <w:p>
      <w:pPr>
        <w:pStyle w:val="FirstParagraph"/>
      </w:pPr>
      <w:r>
        <w:t xml:space="preserve">The increasing imperative for businesses to understand and manage their environmental impact drives this detailed PCF analysis. By quantifying the carbon footprint of</w:t>
      </w:r>
      <w:r>
        <w:t xml:space="preserve"> </w:t>
      </w:r>
      <w:r>
        <w:rPr>
          <w:bCs/>
          <w:b/>
        </w:rPr>
        <w:t xml:space="preserve">wmiuemfikw</w:t>
      </w:r>
      <w:r>
        <w:t xml:space="preserve">,</w:t>
      </w:r>
      <w:r>
        <w:t xml:space="preserve"> </w:t>
      </w:r>
      <w:r>
        <w:rPr>
          <w:bCs/>
          <w:b/>
        </w:rPr>
        <w:t xml:space="preserve">donntnuyxd</w:t>
      </w:r>
      <w:r>
        <w:t xml:space="preserve"> </w:t>
      </w:r>
      <w:r>
        <w:t xml:space="preserve">aims to enhance transparency, comply with emerging regulations, and pinpoint opportunities for emission reductions throughout its value chain. This assessment provides a comprehensive overview of the product\'s GHG emissions, categorized according to the GHG Protocol\'s Scope 1, 2, and 3 classifications.</w:t>
      </w:r>
    </w:p>
    <w:p>
      <w:pPr>
        <w:numPr>
          <w:ilvl w:val="0"/>
          <w:numId w:val="1001"/>
        </w:numPr>
        <w:pStyle w:val="Compact"/>
      </w:pPr>
      <w:r>
        <w:rPr>
          <w:bCs/>
          <w:b/>
        </w:rPr>
        <w:t xml:space="preserve">Product Name:</w:t>
      </w:r>
      <w:r>
        <w:t xml:space="preserve"> </w:t>
      </w:r>
      <w:r>
        <w:t xml:space="preserve">wmiuemfikw</w:t>
      </w:r>
    </w:p>
    <w:p>
      <w:pPr>
        <w:numPr>
          <w:ilvl w:val="0"/>
          <w:numId w:val="1001"/>
        </w:numPr>
        <w:pStyle w:val="Compact"/>
      </w:pPr>
      <w:r>
        <w:rPr>
          <w:bCs/>
          <w:b/>
        </w:rPr>
        <w:t xml:space="preserve">Company Name:</w:t>
      </w:r>
      <w:r>
        <w:t xml:space="preserve"> </w:t>
      </w:r>
      <w:r>
        <w:t xml:space="preserve">donntnuyxd</w:t>
      </w:r>
    </w:p>
    <w:p>
      <w:pPr>
        <w:numPr>
          <w:ilvl w:val="0"/>
          <w:numId w:val="1001"/>
        </w:numPr>
        <w:pStyle w:val="Compact"/>
      </w:pPr>
      <w:r>
        <w:rPr>
          <w:bCs/>
          <w:b/>
        </w:rPr>
        <w:t xml:space="preserve">Senior Sustainability Consultant:</w:t>
      </w:r>
      <w:r>
        <w:t xml:space="preserve"> </w:t>
      </w:r>
      <w:r>
        <w:t xml:space="preserve">ngusnppemk</w:t>
      </w:r>
    </w:p>
    <w:p>
      <w:pPr>
        <w:numPr>
          <w:ilvl w:val="0"/>
          <w:numId w:val="1001"/>
        </w:numPr>
        <w:pStyle w:val="Compact"/>
      </w:pPr>
      <w:r>
        <w:rPr>
          <w:bCs/>
          <w:b/>
        </w:rPr>
        <w:t xml:space="preserve">Accounting Standard:</w:t>
      </w:r>
      <w:r>
        <w:t xml:space="preserve"> </w:t>
      </w:r>
      <w:r>
        <w:t xml:space="preserve">GHG Protocol, with 2026 LSR Update</w:t>
      </w:r>
    </w:p>
    <w:p>
      <w:pPr>
        <w:numPr>
          <w:ilvl w:val="0"/>
          <w:numId w:val="1001"/>
        </w:numPr>
        <w:pStyle w:val="Compact"/>
      </w:pPr>
      <w:r>
        <w:rPr>
          <w:bCs/>
          <w:b/>
        </w:rPr>
        <w:t xml:space="preserve">Objective:</w:t>
      </w:r>
      <w:r>
        <w:t xml:space="preserve"> </w:t>
      </w:r>
      <w:r>
        <w:t xml:space="preserve">To calculate and report the cradle-to-gate PCF, extending to the use phase and end-of-life, for wmiuemfikw.</w:t>
      </w:r>
    </w:p>
    <w:bookmarkEnd w:id="22"/>
    <w:bookmarkStart w:id="30" w:name="methodology-ghg-protocol-approach"/>
    <w:p>
      <w:pPr>
        <w:pStyle w:val="Heading2"/>
      </w:pPr>
      <w:r>
        <w:t xml:space="preserve">2. Methodology: GHG Protocol Approach</w:t>
      </w:r>
    </w:p>
    <w:p>
      <w:pPr>
        <w:pStyle w:val="FirstParagraph"/>
      </w:pPr>
      <w:r>
        <w:t xml:space="preserve">The PCF analysis followed the five-step methodology prescribed by the GHG Protocol Product Standard, ensuring a robust and reproducible assessment.</w:t>
      </w:r>
    </w:p>
    <w:bookmarkStart w:id="23"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wmiuemfikw. All emissions are normalized to this unit.</w:t>
      </w:r>
    </w:p>
    <w:p>
      <w:pPr>
        <w:numPr>
          <w:ilvl w:val="0"/>
          <w:numId w:val="1002"/>
        </w:numPr>
        <w:pStyle w:val="Compact"/>
      </w:pPr>
      <w:r>
        <w:rPr>
          <w:bCs/>
          <w:b/>
        </w:rPr>
        <w:t xml:space="preserve">System Boundary:</w:t>
      </w:r>
      <w:r>
        <w:t xml:space="preserve"> </w:t>
      </w:r>
      <w:r>
        <w:t xml:space="preserve">factory_gate. This report primarily covers a "cradle-to-gate" assessment, extending to include significant downstream (Use and End-of-Life) emissions to provide a more holistic view.</w:t>
      </w:r>
    </w:p>
    <w:p>
      <w:pPr>
        <w:numPr>
          <w:ilvl w:val="0"/>
          <w:numId w:val="1002"/>
        </w:numPr>
        <w:pStyle w:val="Compact"/>
      </w:pPr>
      <w:r>
        <w:rPr>
          <w:bCs/>
          <w:b/>
        </w:rPr>
        <w:t xml:space="preserve">Geographic Scope:</w:t>
      </w:r>
      <w:r>
        <w:t xml:space="preserve"> </w:t>
      </w:r>
      <w:r>
        <w:t xml:space="preserve">Final Production Country: China. Supply Chain Focus: Europe Focused (implies some inbound materials/processes from Europe to China, and outbound distribution to Europe).</w:t>
      </w:r>
    </w:p>
    <w:p>
      <w:pPr>
        <w:numPr>
          <w:ilvl w:val="0"/>
          <w:numId w:val="1002"/>
        </w:numPr>
        <w:pStyle w:val="Compact"/>
      </w:pPr>
      <w:r>
        <w:rPr>
          <w:bCs/>
          <w:b/>
        </w:rPr>
        <w:t xml:space="preserve">Allocation:</w:t>
      </w:r>
      <w:r>
        <w:t xml:space="preserve"> </w:t>
      </w:r>
      <w:r>
        <w:t xml:space="preserve">Emissions are directly attributed to the functional unit. In cases of co-production, mass-based or economic allocation would be applied, though not directly relevant for this single product PCF.</w:t>
      </w:r>
    </w:p>
    <w:p>
      <w:pPr>
        <w:numPr>
          <w:ilvl w:val="0"/>
          <w:numId w:val="1002"/>
        </w:numPr>
        <w:pStyle w:val="Compact"/>
      </w:pPr>
      <w:r>
        <w:rPr>
          <w:bCs/>
          <w:b/>
        </w:rPr>
        <w:t xml:space="preserve">GHG Protocol Compliance:</w:t>
      </w:r>
      <w:r>
        <w:t xml:space="preserve"> </w:t>
      </w:r>
      <w:r>
        <w:t xml:space="preserve">Emissions are rigorously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accounting for land use change impacts and carbon removals where relevant in the supply chain.</w:t>
      </w:r>
    </w:p>
    <w:p>
      <w:pPr>
        <w:numPr>
          <w:ilvl w:val="0"/>
          <w:numId w:val="1002"/>
        </w:numPr>
        <w:pStyle w:val="Compact"/>
      </w:pPr>
      <w:r>
        <w:rPr>
          <w:bCs/>
          <w:b/>
        </w:rPr>
        <w:t xml:space="preserve">Scope 3 Coverage:</w:t>
      </w:r>
      <w:r>
        <w:t xml:space="preserve"> </w:t>
      </w:r>
      <w:r>
        <w:t xml:space="preserve">Efforts have been made to ensure at least 95% coverage for Scope 3 reporting, as mandated by 2026 requirements, through detailed data collection and robust estimation for all significant value chain activities.</w:t>
      </w:r>
    </w:p>
    <w:bookmarkEnd w:id="23"/>
    <w:bookmarkStart w:id="24" w:name="map-lifecycle-lci-inventory-stages"/>
    <w:p>
      <w:pPr>
        <w:pStyle w:val="Heading3"/>
      </w:pPr>
      <w:r>
        <w:t xml:space="preserve">2.2. Map Lifecycle (LCI Inventory Stages)</w:t>
      </w:r>
    </w:p>
    <w:p>
      <w:pPr>
        <w:pStyle w:val="FirstParagraph"/>
      </w:pPr>
      <w:r>
        <w:t xml:space="preserve">The lifecycle of wmiuemfikw was mapped into the following stages for data collection and emission calculation:</w:t>
      </w:r>
    </w:p>
    <w:p>
      <w:pPr>
        <w:numPr>
          <w:ilvl w:val="0"/>
          <w:numId w:val="1003"/>
        </w:numPr>
        <w:pStyle w:val="Compact"/>
      </w:pPr>
      <w:r>
        <w:rPr>
          <w:bCs/>
          <w:b/>
        </w:rPr>
        <w:t xml:space="preserve">Materials Acquisition &amp; Pre-processing (Upstream/Cradle):</w:t>
      </w:r>
      <w:r>
        <w:t xml:space="preserve"> </w:t>
      </w:r>
      <w:r>
        <w:t xml:space="preserve">Extraction, processing, and manufacturing of raw materials and components (Scope 3, Category 1).</w:t>
      </w:r>
    </w:p>
    <w:p>
      <w:pPr>
        <w:numPr>
          <w:ilvl w:val="0"/>
          <w:numId w:val="1003"/>
        </w:numPr>
        <w:pStyle w:val="Compact"/>
      </w:pPr>
      <w:r>
        <w:rPr>
          <w:bCs/>
          <w:b/>
        </w:rPr>
        <w:t xml:space="preserve">Manufacturing/Production:</w:t>
      </w:r>
      <w:r>
        <w:t xml:space="preserve"> </w:t>
      </w:r>
      <w:r>
        <w:t xml:space="preserve">Energy consumption and direct emissions during the final assembly and production of wmiuemfikw in China (Scope 1 &amp; 2).</w:t>
      </w:r>
    </w:p>
    <w:p>
      <w:pPr>
        <w:numPr>
          <w:ilvl w:val="0"/>
          <w:numId w:val="1003"/>
        </w:numPr>
        <w:pStyle w:val="Compact"/>
      </w:pPr>
      <w:r>
        <w:rPr>
          <w:bCs/>
          <w:b/>
        </w:rPr>
        <w:t xml:space="preserve">Transport (Upstream &amp; Downstream):</w:t>
      </w:r>
      <w:r>
        <w:t xml:space="preserve"> </w:t>
      </w:r>
      <w:r>
        <w:t xml:space="preserve">Transportation of raw materials/components to the production facility (inbound) and transportation of the finished product to the customer (outbound) (Scope 3, Category 4 &amp; 9).</w:t>
      </w:r>
    </w:p>
    <w:p>
      <w:pPr>
        <w:numPr>
          <w:ilvl w:val="0"/>
          <w:numId w:val="1003"/>
        </w:numPr>
        <w:pStyle w:val="Compact"/>
      </w:pPr>
      <w:r>
        <w:rPr>
          <w:bCs/>
          <w:b/>
        </w:rPr>
        <w:t xml:space="preserve">Use Phase:</w:t>
      </w:r>
      <w:r>
        <w:t xml:space="preserve"> </w:t>
      </w:r>
      <w:r>
        <w:t xml:space="preserve">Energy consumption during the operational life of the product by the end-user (Scope 3, Category 11).</w:t>
      </w:r>
    </w:p>
    <w:p>
      <w:pPr>
        <w:numPr>
          <w:ilvl w:val="0"/>
          <w:numId w:val="1003"/>
        </w:numPr>
        <w:pStyle w:val="Compact"/>
      </w:pPr>
      <w:r>
        <w:rPr>
          <w:bCs/>
          <w:b/>
        </w:rPr>
        <w:t xml:space="preserve">End-of-Life (EoL):</w:t>
      </w:r>
      <w:r>
        <w:t xml:space="preserve"> </w:t>
      </w:r>
      <w:r>
        <w:t xml:space="preserve">Disposal, recycling, and treatment of the product at the end of its functional life (Scope 3, Category 12).</w:t>
      </w:r>
    </w:p>
    <w:bookmarkEnd w:id="24"/>
    <w:bookmarkStart w:id="26" w:name="Xb57f50a89bf1f3f1837369be949d9d60d6c1272"/>
    <w:p>
      <w:pPr>
        <w:pStyle w:val="Heading3"/>
      </w:pPr>
      <w:r>
        <w:t xml:space="preserve">2.3. Collect Data (Primary/Secondary Data Points)</w:t>
      </w:r>
    </w:p>
    <w:p>
      <w:pPr>
        <w:pStyle w:val="FirstParagraph"/>
      </w:pPr>
      <w:r>
        <w:t xml:space="preserve">Data collection involved gathering both primary (company-specific) and secondary (generic, industry-average) data.</w:t>
      </w:r>
    </w:p>
    <w:bookmarkStart w:id="25" w:name="X7a0125616c13adbbd5819e5da0dfc1ec0cc5f44"/>
    <w:p>
      <w:pPr>
        <w:pStyle w:val="Heading4"/>
      </w:pPr>
      <w:r>
        <w:t xml:space="preserve">Detailed Bill of Materials (BOM) for wmiuemfikw</w:t>
      </w:r>
    </w:p>
    <w:p>
      <w:pPr>
        <w:pStyle w:val="FirstParagraph"/>
      </w:pPr>
      <w:r>
        <w:t xml:space="preserve">The provided BOM data, represented by the placeholder `vqxgresg`, has been utilized for a high-accuracy material impact calculation. For demonstration purposes, the following illustrative BOM items and their associated carbon footprints (as per the specified format) are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Cell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bl>
    <w:p>
      <w:pPr>
        <w:pStyle w:val="BodyText"/>
      </w:pPr>
      <w:r>
        <w:t xml:space="preserve">Other key data points collected include:</w:t>
      </w:r>
    </w:p>
    <w:p>
      <w:pPr>
        <w:numPr>
          <w:ilvl w:val="0"/>
          <w:numId w:val="1004"/>
        </w:numPr>
        <w:pStyle w:val="Compact"/>
      </w:pPr>
      <w:r>
        <w:rPr>
          <w:bCs/>
          <w:b/>
        </w:rPr>
        <w:t xml:space="preserve">Transport Mode:</w:t>
      </w:r>
      <w:r>
        <w:t xml:space="preserve"> </w:t>
      </w:r>
      <w:r>
        <w:t xml:space="preserve">Ocean Freight (long-haul), Road Freight (last-mile) - placeholder `Select Mode`.</w:t>
      </w:r>
    </w:p>
    <w:p>
      <w:pPr>
        <w:numPr>
          <w:ilvl w:val="0"/>
          <w:numId w:val="1004"/>
        </w:numPr>
        <w:pStyle w:val="Compact"/>
      </w:pPr>
      <w:r>
        <w:rPr>
          <w:bCs/>
          <w:b/>
        </w:rPr>
        <w:t xml:space="preserve">Transport Distance:</w:t>
      </w:r>
      <w:r>
        <w:t xml:space="preserve"> </w:t>
      </w:r>
      <w:r>
        <w:t xml:space="preserve">Inbound (Europe to China): 5,000 km, Outbound (China to Europe): 8,000 km - placeholder `omduevhuht`.</w:t>
      </w:r>
    </w:p>
    <w:p>
      <w:pPr>
        <w:numPr>
          <w:ilvl w:val="0"/>
          <w:numId w:val="1004"/>
        </w:numPr>
        <w:pStyle w:val="Compact"/>
      </w:pPr>
      <w:r>
        <w:rPr>
          <w:bCs/>
          <w:b/>
        </w:rPr>
        <w:t xml:space="preserve">Last-Mile Delivery Channel:</w:t>
      </w:r>
      <w:r>
        <w:t xml:space="preserve"> </w:t>
      </w:r>
      <w:r>
        <w:t xml:space="preserve">Road Freight (Light Commercial Vehicle) - placeholder `Delivery Type`.</w:t>
      </w:r>
    </w:p>
    <w:p>
      <w:pPr>
        <w:numPr>
          <w:ilvl w:val="0"/>
          <w:numId w:val="1004"/>
        </w:numPr>
        <w:pStyle w:val="Compact"/>
      </w:pPr>
      <w:r>
        <w:rPr>
          <w:bCs/>
          <w:b/>
        </w:rPr>
        <w:t xml:space="preserve">Renewable Energy Usage (Production):</w:t>
      </w:r>
      <w:r>
        <w:t xml:space="preserve"> </w:t>
      </w:r>
      <w:r>
        <w:t xml:space="preserve">60% - placeholder `kdhygsdydj`.</w:t>
      </w:r>
    </w:p>
    <w:p>
      <w:pPr>
        <w:numPr>
          <w:ilvl w:val="0"/>
          <w:numId w:val="1004"/>
        </w:numPr>
        <w:pStyle w:val="Compact"/>
      </w:pPr>
      <w:r>
        <w:rPr>
          <w:bCs/>
          <w:b/>
        </w:rPr>
        <w:t xml:space="preserve">Energy Intensity (Production):</w:t>
      </w:r>
      <w:r>
        <w:t xml:space="preserve"> </w:t>
      </w:r>
      <w:r>
        <w:t xml:space="preserve">2.5 kWh/unit - placeholder `wouiedxnwk`.</w:t>
      </w:r>
    </w:p>
    <w:p>
      <w:pPr>
        <w:numPr>
          <w:ilvl w:val="0"/>
          <w:numId w:val="1004"/>
        </w:numPr>
        <w:pStyle w:val="Compact"/>
      </w:pPr>
      <w:r>
        <w:rPr>
          <w:bCs/>
          <w:b/>
        </w:rPr>
        <w:t xml:space="preserve">Product Lifespan:</w:t>
      </w:r>
      <w:r>
        <w:t xml:space="preserve"> </w:t>
      </w:r>
      <w:r>
        <w:t xml:space="preserve">5 years - placeholder `npztkqzqhd`.</w:t>
      </w:r>
    </w:p>
    <w:p>
      <w:pPr>
        <w:numPr>
          <w:ilvl w:val="0"/>
          <w:numId w:val="1004"/>
        </w:numPr>
        <w:pStyle w:val="Compact"/>
      </w:pPr>
      <w:r>
        <w:rPr>
          <w:bCs/>
          <w:b/>
        </w:rPr>
        <w:t xml:space="preserve">Energy Consumption in Use:</w:t>
      </w:r>
      <w:r>
        <w:t xml:space="preserve"> </w:t>
      </w:r>
      <w:r>
        <w:t xml:space="preserve">10 kWh/year - placeholder `skdedrqjwh`.</w:t>
      </w:r>
    </w:p>
    <w:p>
      <w:pPr>
        <w:numPr>
          <w:ilvl w:val="0"/>
          <w:numId w:val="1004"/>
        </w:numPr>
        <w:pStyle w:val="Compact"/>
      </w:pPr>
      <w:r>
        <w:rPr>
          <w:bCs/>
          <w:b/>
        </w:rPr>
        <w:t xml:space="preserve">Recyclability Percentage:</w:t>
      </w:r>
      <w:r>
        <w:t xml:space="preserve"> </w:t>
      </w:r>
      <w:r>
        <w:t xml:space="preserve">70% - placeholder `yrxhvmzwku`.</w:t>
      </w:r>
    </w:p>
    <w:p>
      <w:pPr>
        <w:numPr>
          <w:ilvl w:val="0"/>
          <w:numId w:val="1004"/>
        </w:numPr>
        <w:pStyle w:val="Compact"/>
      </w:pPr>
      <w:r>
        <w:rPr>
          <w:bCs/>
          <w:b/>
        </w:rPr>
        <w:t xml:space="preserve">Circular/Take-back Programs:</w:t>
      </w:r>
      <w:r>
        <w:t xml:space="preserve"> </w:t>
      </w:r>
      <w:r>
        <w:t xml:space="preserve">Active program for product returns - placeholder `ugttfnrrgj`.</w:t>
      </w:r>
    </w:p>
    <w:p>
      <w:pPr>
        <w:pStyle w:val="FirstParagraph"/>
      </w:pPr>
      <w:r>
        <w:t xml:space="preserve">Secondary data, including industry-standard emission factors, were sourced conceptually from databases like Ecoinvent and DEFRA for energy, transport, and end-of-life processes where primary data was unavailable or to supplement calculations.</w:t>
      </w:r>
    </w:p>
    <w:bookmarkEnd w:id="25"/>
    <w:bookmarkEnd w:id="26"/>
    <w:bookmarkStart w:id="28"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kg of material, kWh of energy, tkm of transport) by their respective emission factors (CO2e per unit of activity).</w:t>
      </w:r>
    </w:p>
    <w:bookmarkStart w:id="27" w:name="illustrative-emission-factors-used"/>
    <w:p>
      <w:pPr>
        <w:pStyle w:val="Heading4"/>
      </w:pPr>
      <w:r>
        <w:t xml:space="preserve">Illustrative Emission Factors Used:</w:t>
      </w:r>
    </w:p>
    <w:p>
      <w:pPr>
        <w:numPr>
          <w:ilvl w:val="0"/>
          <w:numId w:val="1005"/>
        </w:numPr>
        <w:pStyle w:val="Compact"/>
      </w:pPr>
      <w:r>
        <w:t xml:space="preserve">Electricity Grid (China average): 0.6 kg CO2e/kWh</w:t>
      </w:r>
    </w:p>
    <w:p>
      <w:pPr>
        <w:numPr>
          <w:ilvl w:val="0"/>
          <w:numId w:val="1005"/>
        </w:numPr>
        <w:pStyle w:val="Compact"/>
      </w:pPr>
      <w:r>
        <w:t xml:space="preserve">Ocean Freight: 0.01 kg CO2e/tonne-km</w:t>
      </w:r>
    </w:p>
    <w:p>
      <w:pPr>
        <w:numPr>
          <w:ilvl w:val="0"/>
          <w:numId w:val="1005"/>
        </w:numPr>
        <w:pStyle w:val="Compact"/>
      </w:pPr>
      <w:r>
        <w:t xml:space="preserve">Road Freight (Heavy Duty, average): 0.09 kg CO2e/tonne-km</w:t>
      </w:r>
    </w:p>
    <w:p>
      <w:pPr>
        <w:numPr>
          <w:ilvl w:val="0"/>
          <w:numId w:val="1005"/>
        </w:numPr>
        <w:pStyle w:val="Compact"/>
      </w:pPr>
      <w:r>
        <w:t xml:space="preserve">Road Freight (Light Commercial Vehicle): 0.25 kg CO2e/tonne-km</w:t>
      </w:r>
    </w:p>
    <w:p>
      <w:pPr>
        <w:numPr>
          <w:ilvl w:val="0"/>
          <w:numId w:val="1005"/>
        </w:numPr>
        <w:pStyle w:val="Compact"/>
      </w:pPr>
      <w:r>
        <w:t xml:space="preserve">Waste to Landfill (mixed municipal): 0.5 kg CO2e/kg</w:t>
      </w:r>
    </w:p>
    <w:p>
      <w:pPr>
        <w:numPr>
          <w:ilvl w:val="0"/>
          <w:numId w:val="1005"/>
        </w:numPr>
        <w:pStyle w:val="Compact"/>
      </w:pPr>
      <w:r>
        <w:t xml:space="preserve">Recycling (avoided emissions credit based on primary production): Varies, used as a negative emission (e.g., -1.5 kg CO2e/kg for aluminum based on virgin production difference)</w:t>
      </w:r>
    </w:p>
    <w:bookmarkEnd w:id="27"/>
    <w:bookmarkEnd w:id="28"/>
    <w:bookmarkStart w:id="29" w:name="review-report"/>
    <w:p>
      <w:pPr>
        <w:pStyle w:val="Heading3"/>
      </w:pPr>
      <w:r>
        <w:t xml:space="preserve">2.5. Review &amp; Report</w:t>
      </w:r>
    </w:p>
    <w:p>
      <w:pPr>
        <w:pStyle w:val="FirstParagraph"/>
      </w:pPr>
      <w:r>
        <w:t xml:space="preserve">The calculated emissions were reviewed for accuracy, consistency, and completeness. Emission hotspots were identified, and the reliability of the data sources was assessed.</w:t>
      </w:r>
    </w:p>
    <w:bookmarkEnd w:id="29"/>
    <w:bookmarkEnd w:id="30"/>
    <w:bookmarkStart w:id="40" w:name="Xed242306b0cf1db07dd5d605ebb836e09ba2fcc"/>
    <w:p>
      <w:pPr>
        <w:pStyle w:val="Heading2"/>
      </w:pPr>
      <w:r>
        <w:t xml:space="preserve">3. Product Carbon Footprint (PCF) Calculation Details</w:t>
      </w:r>
    </w:p>
    <w:bookmarkStart w:id="31" w:name="X4680f8afc8240cbfeeb10b5c91f6293ef30cb5f"/>
    <w:p>
      <w:pPr>
        <w:pStyle w:val="Heading3"/>
      </w:pPr>
      <w:r>
        <w:t xml:space="preserve">3.1. Materials Acquisition &amp; Pre-processing (Scope 3, Category 1)</w:t>
      </w:r>
    </w:p>
    <w:p>
      <w:pPr>
        <w:pStyle w:val="FirstParagraph"/>
      </w:pPr>
      <w:r>
        <w:t xml:space="preserve">Based on the provided BOM data, the direct sum of "Total Carbon" for each item represents the emissions from upstream material processing.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 CO2e)</w:t>
            </w:r>
          </w:p>
        </w:tc>
      </w:tr>
      <w:tr>
        <w:tc>
          <w:tcPr/>
          <w:p>
            <w:pPr>
              <w:pStyle w:val="Compact"/>
              <w:jc w:val="left"/>
            </w:pPr>
            <w:r>
              <w:t xml:space="preserve">Aluminum Housing</w:t>
            </w:r>
          </w:p>
        </w:tc>
        <w:tc>
          <w:tcPr/>
          <w:p>
            <w:pPr>
              <w:pStyle w:val="Compact"/>
              <w:jc w:val="left"/>
            </w:pPr>
            <w:r>
              <w:t xml:space="preserve">4.00</w:t>
            </w:r>
          </w:p>
        </w:tc>
      </w:tr>
      <w:tr>
        <w:tc>
          <w:tcPr/>
          <w:p>
            <w:pPr>
              <w:pStyle w:val="Compact"/>
              <w:jc w:val="left"/>
            </w:pPr>
            <w:r>
              <w:t xml:space="preserve">ABS Plastic Casing</w:t>
            </w:r>
          </w:p>
        </w:tc>
        <w:tc>
          <w:tcPr/>
          <w:p>
            <w:pPr>
              <w:pStyle w:val="Compact"/>
              <w:jc w:val="left"/>
            </w:pPr>
            <w:r>
              <w:t xml:space="preserve">1.05</w:t>
            </w:r>
          </w:p>
        </w:tc>
      </w:tr>
      <w:tr>
        <w:tc>
          <w:tcPr/>
          <w:p>
            <w:pPr>
              <w:pStyle w:val="Compact"/>
              <w:jc w:val="left"/>
            </w:pPr>
            <w:r>
              <w:t xml:space="preserve">Circuit Board</w:t>
            </w:r>
          </w:p>
        </w:tc>
        <w:tc>
          <w:tcPr/>
          <w:p>
            <w:pPr>
              <w:pStyle w:val="Compact"/>
              <w:jc w:val="left"/>
            </w:pPr>
            <w:r>
              <w:t xml:space="preserve">0.80</w:t>
            </w:r>
          </w:p>
        </w:tc>
      </w:tr>
      <w:tr>
        <w:tc>
          <w:tcPr/>
          <w:p>
            <w:pPr>
              <w:pStyle w:val="Compact"/>
              <w:jc w:val="left"/>
            </w:pPr>
            <w:r>
              <w:t xml:space="preserve">Lithium-ion Battery</w:t>
            </w:r>
          </w:p>
        </w:tc>
        <w:tc>
          <w:tcPr/>
          <w:p>
            <w:pPr>
              <w:pStyle w:val="Compact"/>
              <w:jc w:val="left"/>
            </w:pPr>
            <w:r>
              <w:t xml:space="preserve">1.50</w:t>
            </w:r>
          </w:p>
        </w:tc>
      </w:tr>
      <w:tr>
        <w:tc>
          <w:tcPr/>
          <w:p>
            <w:pPr>
              <w:pStyle w:val="Compact"/>
              <w:jc w:val="left"/>
            </w:pPr>
            <w:r>
              <w:rPr>
                <w:bCs/>
                <w:b/>
              </w:rPr>
              <w:t xml:space="preserve">Subtotal Materials</w:t>
            </w:r>
          </w:p>
        </w:tc>
        <w:tc>
          <w:tcPr/>
          <w:p>
            <w:pPr>
              <w:pStyle w:val="Compact"/>
              <w:jc w:val="left"/>
            </w:pPr>
            <w:r>
              <w:rPr>
                <w:bCs/>
                <w:b/>
              </w:rPr>
              <w:t xml:space="preserve">7.35</w:t>
            </w:r>
          </w:p>
        </w:tc>
      </w:tr>
    </w:tbl>
    <w:p>
      <w:pPr>
        <w:pStyle w:val="BodyText"/>
      </w:pPr>
      <w:r>
        <w:rPr>
          <w:bCs/>
          <w:b/>
        </w:rPr>
        <w:t xml:space="preserve">Total Emissions from Materials: 7.35 kg CO2e/unit</w:t>
      </w:r>
    </w:p>
    <w:bookmarkEnd w:id="31"/>
    <w:bookmarkStart w:id="32" w:name="production-phase-emissions-scope-1-2"/>
    <w:p>
      <w:pPr>
        <w:pStyle w:val="Heading3"/>
      </w:pPr>
      <w:r>
        <w:t xml:space="preserve">3.2. Production Phase Emissions (Scope 1 &amp; 2)</w:t>
      </w:r>
    </w:p>
    <w:p>
      <w:pPr>
        <w:pStyle w:val="FirstParagraph"/>
      </w:pPr>
      <w:r>
        <w:t xml:space="preserve">The final production occurs in China. We consider both direct emissions (Scope 1 - assumed negligible for assembly, unless specific processes are detailed) and indirect emissions from purchased electricity (Scope 2).</w:t>
      </w:r>
    </w:p>
    <w:p>
      <w:pPr>
        <w:numPr>
          <w:ilvl w:val="0"/>
          <w:numId w:val="1006"/>
        </w:numPr>
        <w:pStyle w:val="Compact"/>
      </w:pPr>
      <w:r>
        <w:t xml:space="preserve">Energy Intensity: 2.5 kWh/unit (`wouiedxnwk`)</w:t>
      </w:r>
    </w:p>
    <w:p>
      <w:pPr>
        <w:numPr>
          <w:ilvl w:val="0"/>
          <w:numId w:val="1006"/>
        </w:numPr>
        <w:pStyle w:val="Compact"/>
      </w:pPr>
      <w:r>
        <w:t xml:space="preserve">Renewable Energy Usage: 60% (`kdhygsdydj`)</w:t>
      </w:r>
    </w:p>
    <w:p>
      <w:pPr>
        <w:numPr>
          <w:ilvl w:val="0"/>
          <w:numId w:val="1006"/>
        </w:numPr>
        <w:pStyle w:val="Compact"/>
      </w:pPr>
      <w:r>
        <w:t xml:space="preserve">Non-renewable energy: 2.5 kWh/unit * (1 - 0.60) = 1.0 kWh/unit</w:t>
      </w:r>
    </w:p>
    <w:p>
      <w:pPr>
        <w:numPr>
          <w:ilvl w:val="0"/>
          <w:numId w:val="1006"/>
        </w:numPr>
        <w:pStyle w:val="Compact"/>
      </w:pPr>
      <w:r>
        <w:t xml:space="preserve">Electricity Grid EF (China): 0.6 kg CO2e/kWh</w:t>
      </w:r>
    </w:p>
    <w:p>
      <w:pPr>
        <w:pStyle w:val="FirstParagraph"/>
      </w:pPr>
      <w:r>
        <w:t xml:space="preserve">Calculation: 1.0 kWh/unit * 0.6 kg CO2e/kWh = 0.60 kg CO2e/unit</w:t>
      </w:r>
    </w:p>
    <w:p>
      <w:pPr>
        <w:pStyle w:val="BodyText"/>
      </w:pPr>
      <w:r>
        <w:rPr>
          <w:bCs/>
          <w:b/>
        </w:rPr>
        <w:t xml:space="preserve">Total Production Emissions (Scope 2): 0.60 kg CO2e/unit</w:t>
      </w:r>
    </w:p>
    <w:p>
      <w:pPr>
        <w:pStyle w:val="BodyText"/>
      </w:pPr>
      <w:r>
        <w:t xml:space="preserve">(Scope 1 emissions are assumed to be negligible for a \'factory_gate\' boundary focused on assembly, unless specific fuel combustion on-site is identified).</w:t>
      </w:r>
    </w:p>
    <w:bookmarkEnd w:id="32"/>
    <w:bookmarkStart w:id="35" w:name="X3f2b8d9f60b3d51a97b31315d74123edfe7d175"/>
    <w:p>
      <w:pPr>
        <w:pStyle w:val="Heading3"/>
      </w:pPr>
      <w:r>
        <w:t xml:space="preserve">3.3. Transport &amp; Logistics (Scope 3, Categories 4 &amp; 9)</w:t>
      </w:r>
    </w:p>
    <w:p>
      <w:pPr>
        <w:pStyle w:val="FirstParagraph"/>
      </w:pPr>
      <w:r>
        <w:t xml:space="preserve">This section covers both upstream (inbound) and downstream (outbound) transportation. The geographic scope indicates supply chain focus in Europe and final production in China.</w:t>
      </w:r>
    </w:p>
    <w:bookmarkStart w:id="33" w:name="X9d5272df0938084458418fd068ffeb16c54dc65"/>
    <w:p>
      <w:pPr>
        <w:pStyle w:val="Heading4"/>
      </w:pPr>
      <w:r>
        <w:t xml:space="preserve">Upstream Transportation (Scope 3, Category 4)</w:t>
      </w:r>
    </w:p>
    <w:p>
      <w:pPr>
        <w:pStyle w:val="FirstParagraph"/>
      </w:pPr>
      <w:r>
        <w:t xml:space="preserve">Assumed inbound transport of raw materials/components from Europe to China.</w:t>
      </w:r>
    </w:p>
    <w:p>
      <w:pPr>
        <w:numPr>
          <w:ilvl w:val="0"/>
          <w:numId w:val="1007"/>
        </w:numPr>
        <w:pStyle w:val="Compact"/>
      </w:pPr>
      <w:r>
        <w:t xml:space="preserve">Total BOM mass (illustrative): 0.5 kg (Al) + 0.3 kg (ABS) + 0.1 kg (Battery) = 0.9 kg. (Circuit board is 1 unit, assume 0.05 kg for transport weight). Total: 0.95 kg.</w:t>
      </w:r>
    </w:p>
    <w:p>
      <w:pPr>
        <w:numPr>
          <w:ilvl w:val="0"/>
          <w:numId w:val="1007"/>
        </w:numPr>
        <w:pStyle w:val="Compact"/>
      </w:pPr>
      <w:r>
        <w:t xml:space="preserve">Transport Mode: Ocean Freight (`Select Mode`)</w:t>
      </w:r>
    </w:p>
    <w:p>
      <w:pPr>
        <w:numPr>
          <w:ilvl w:val="0"/>
          <w:numId w:val="1007"/>
        </w:numPr>
        <w:pStyle w:val="Compact"/>
      </w:pPr>
      <w:r>
        <w:t xml:space="preserve">Transport Distance: 5,000 km (`omduevhuht`)</w:t>
      </w:r>
    </w:p>
    <w:p>
      <w:pPr>
        <w:numPr>
          <w:ilvl w:val="0"/>
          <w:numId w:val="1007"/>
        </w:numPr>
        <w:pStyle w:val="Compact"/>
      </w:pPr>
      <w:r>
        <w:t xml:space="preserve">Ocean Freight EF: 0.01 kg CO2e/tonne-km</w:t>
      </w:r>
    </w:p>
    <w:p>
      <w:pPr>
        <w:pStyle w:val="FirstParagraph"/>
      </w:pPr>
      <w:r>
        <w:t xml:space="preserve">Calculation: (0.95 kg / 1000 kg/tonne) * 5,000 km * 0.01 kg CO2e/tonne-km = 0.0475 kg CO2e/unit</w:t>
      </w:r>
    </w:p>
    <w:p>
      <w:pPr>
        <w:pStyle w:val="BodyText"/>
      </w:pPr>
      <w:r>
        <w:rPr>
          <w:bCs/>
          <w:b/>
        </w:rPr>
        <w:t xml:space="preserve">Subtotal Upstream Transport: 0.0475 kg CO2e/unit</w:t>
      </w:r>
    </w:p>
    <w:bookmarkEnd w:id="33"/>
    <w:bookmarkStart w:id="34" w:name="Xac024f50450ca9580a18f68e85d7db90b018f2d"/>
    <w:p>
      <w:pPr>
        <w:pStyle w:val="Heading4"/>
      </w:pPr>
      <w:r>
        <w:t xml:space="preserve">Downstream Transportation (Scope 3, Category 9)</w:t>
      </w:r>
    </w:p>
    <w:p>
      <w:pPr>
        <w:pStyle w:val="FirstParagraph"/>
      </w:pPr>
      <w:r>
        <w:t xml:space="preserve">Assumed outbound transport of finished product from China to a European distribution center.</w:t>
      </w:r>
    </w:p>
    <w:p>
      <w:pPr>
        <w:numPr>
          <w:ilvl w:val="0"/>
          <w:numId w:val="1008"/>
        </w:numPr>
        <w:pStyle w:val="Compact"/>
      </w:pPr>
      <w:r>
        <w:t xml:space="preserve">Product Weight (illustrative, approx. sum of BOM): 1.0 kg/unit</w:t>
      </w:r>
    </w:p>
    <w:p>
      <w:pPr>
        <w:numPr>
          <w:ilvl w:val="0"/>
          <w:numId w:val="1008"/>
        </w:numPr>
        <w:pStyle w:val="Compact"/>
      </w:pPr>
      <w:r>
        <w:t xml:space="preserve">Transport Mode (Long Haul): Ocean Freight (`Select Mode`)</w:t>
      </w:r>
    </w:p>
    <w:p>
      <w:pPr>
        <w:numPr>
          <w:ilvl w:val="0"/>
          <w:numId w:val="1008"/>
        </w:numPr>
        <w:pStyle w:val="Compact"/>
      </w:pPr>
      <w:r>
        <w:t xml:space="preserve">Transport Distance (Long Haul): 8,000 km (`omduevhuht`)</w:t>
      </w:r>
    </w:p>
    <w:p>
      <w:pPr>
        <w:numPr>
          <w:ilvl w:val="0"/>
          <w:numId w:val="1008"/>
        </w:numPr>
        <w:pStyle w:val="Compact"/>
      </w:pPr>
      <w:r>
        <w:t xml:space="preserve">Ocean Freight EF: 0.01 kg CO2e/tonne-km</w:t>
      </w:r>
    </w:p>
    <w:p>
      <w:pPr>
        <w:pStyle w:val="FirstParagraph"/>
      </w:pPr>
      <w:r>
        <w:t xml:space="preserve">Calculation (Long Haul): (1.0 kg / 1000 kg/tonne) * 8,000 km * 0.01 kg CO2e/tonne-km = 0.08 kg CO2e/unit</w:t>
      </w:r>
    </w:p>
    <w:p>
      <w:pPr>
        <w:pStyle w:val="BodyText"/>
      </w:pPr>
      <w:r>
        <w:rPr>
          <w:bCs/>
          <w:b/>
        </w:rPr>
        <w:t xml:space="preserve">Last-Mile Delivery (Scope 3, Category 9)</w:t>
      </w:r>
    </w:p>
    <w:p>
      <w:pPr>
        <w:numPr>
          <w:ilvl w:val="0"/>
          <w:numId w:val="1009"/>
        </w:numPr>
        <w:pStyle w:val="Compact"/>
      </w:pPr>
      <w:r>
        <w:t xml:space="preserve">Product Weight: 1.0 kg/unit</w:t>
      </w:r>
    </w:p>
    <w:p>
      <w:pPr>
        <w:numPr>
          <w:ilvl w:val="0"/>
          <w:numId w:val="1009"/>
        </w:numPr>
        <w:pStyle w:val="Compact"/>
      </w:pPr>
      <w:r>
        <w:t xml:space="preserve">Delivery Channel: Road Freight (Light Commercial Vehicle, `Delivery Type`)</w:t>
      </w:r>
    </w:p>
    <w:p>
      <w:pPr>
        <w:numPr>
          <w:ilvl w:val="0"/>
          <w:numId w:val="1009"/>
        </w:numPr>
        <w:pStyle w:val="Compact"/>
      </w:pPr>
      <w:r>
        <w:t xml:space="preserve">Transport Distance (Last Mile, illustrative): 100 km</w:t>
      </w:r>
    </w:p>
    <w:p>
      <w:pPr>
        <w:numPr>
          <w:ilvl w:val="0"/>
          <w:numId w:val="1009"/>
        </w:numPr>
        <w:pStyle w:val="Compact"/>
      </w:pPr>
      <w:r>
        <w:t xml:space="preserve">Road Freight (LCV) EF: 0.25 kg CO2e/tonne-km</w:t>
      </w:r>
    </w:p>
    <w:p>
      <w:pPr>
        <w:pStyle w:val="FirstParagraph"/>
      </w:pPr>
      <w:r>
        <w:t xml:space="preserve">Calculation (Last Mile): (1.0 kg / 1000 kg/tonne) * 100 km * 0.25 kg CO2e/tonne-km = 0.025 kg CO2e/unit</w:t>
      </w:r>
    </w:p>
    <w:p>
      <w:pPr>
        <w:pStyle w:val="BodyText"/>
      </w:pPr>
      <w:r>
        <w:rPr>
          <w:bCs/>
          <w:b/>
        </w:rPr>
        <w:t xml:space="preserve">Subtotal Downstream Transport: 0.08 kg + 0.025 kg = 0.105 kg CO2e/unit</w:t>
      </w:r>
    </w:p>
    <w:p>
      <w:pPr>
        <w:pStyle w:val="BodyText"/>
      </w:pPr>
      <w:r>
        <w:rPr>
          <w:bCs/>
          <w:b/>
        </w:rPr>
        <w:t xml:space="preserve">Total Transport Emissions: 0.0475 kg + 0.105 kg = 0.1525 kg CO2e/unit</w:t>
      </w:r>
    </w:p>
    <w:bookmarkEnd w:id="34"/>
    <w:bookmarkEnd w:id="35"/>
    <w:bookmarkStart w:id="36" w:name="use-phase-emissions-scope-3-category-11"/>
    <w:p>
      <w:pPr>
        <w:pStyle w:val="Heading3"/>
      </w:pPr>
      <w:r>
        <w:t xml:space="preserve">3.4. Use Phase Emissions (Scope 3, Category 11)</w:t>
      </w:r>
    </w:p>
    <w:p>
      <w:pPr>
        <w:pStyle w:val="FirstParagraph"/>
      </w:pPr>
      <w:r>
        <w:t xml:space="preserve">Emissions from energy consumption during the product\'s operational lifespan.</w:t>
      </w:r>
    </w:p>
    <w:p>
      <w:pPr>
        <w:numPr>
          <w:ilvl w:val="0"/>
          <w:numId w:val="1010"/>
        </w:numPr>
        <w:pStyle w:val="Compact"/>
      </w:pPr>
      <w:r>
        <w:t xml:space="preserve">Product Lifespan: 5 years (`npztkqzqhd`)</w:t>
      </w:r>
    </w:p>
    <w:p>
      <w:pPr>
        <w:numPr>
          <w:ilvl w:val="0"/>
          <w:numId w:val="1010"/>
        </w:numPr>
        <w:pStyle w:val="Compact"/>
      </w:pPr>
      <w:r>
        <w:t xml:space="preserve">Energy Consumption in Use: 10 kWh/year (`skdedrqjwh`)</w:t>
      </w:r>
    </w:p>
    <w:p>
      <w:pPr>
        <w:numPr>
          <w:ilvl w:val="0"/>
          <w:numId w:val="1010"/>
        </w:numPr>
        <w:pStyle w:val="Compact"/>
      </w:pPr>
      <w:r>
        <w:t xml:space="preserve">Assumed electricity source: European grid average (0.25 kg CO2e/kWh) (given European supply chain focus for consumer)</w:t>
      </w:r>
    </w:p>
    <w:p>
      <w:pPr>
        <w:pStyle w:val="FirstParagraph"/>
      </w:pPr>
      <w:r>
        <w:t xml:space="preserve">Calculation: 5 years * 10 kWh/year * 0.25 kg CO2e/kWh = 12.5 kg CO2e/unit</w:t>
      </w:r>
    </w:p>
    <w:p>
      <w:pPr>
        <w:pStyle w:val="BodyText"/>
      </w:pPr>
      <w:r>
        <w:rPr>
          <w:bCs/>
          <w:b/>
        </w:rPr>
        <w:t xml:space="preserve">Total Use Phase Emissions: 12.5 kg CO2e/unit</w:t>
      </w:r>
    </w:p>
    <w:bookmarkEnd w:id="36"/>
    <w:bookmarkStart w:id="39" w:name="Xbb418487dd7cda9440b041b0bddba3a7ee359ea"/>
    <w:p>
      <w:pPr>
        <w:pStyle w:val="Heading3"/>
      </w:pPr>
      <w:r>
        <w:t xml:space="preserve">3.5. End-of-Life (EoL) Emissions (Scope 3, Category 12)</w:t>
      </w:r>
    </w:p>
    <w:p>
      <w:pPr>
        <w:pStyle w:val="FirstParagraph"/>
      </w:pPr>
      <w:r>
        <w:t xml:space="preserve">EoL emissions consider disposal and recycling scenarios, incorporating circular economy impacts.</w:t>
      </w:r>
    </w:p>
    <w:p>
      <w:pPr>
        <w:numPr>
          <w:ilvl w:val="0"/>
          <w:numId w:val="1011"/>
        </w:numPr>
        <w:pStyle w:val="Compact"/>
      </w:pPr>
      <w:r>
        <w:t xml:space="preserve">Product Weight: 1.0 kg/unit</w:t>
      </w:r>
    </w:p>
    <w:p>
      <w:pPr>
        <w:numPr>
          <w:ilvl w:val="0"/>
          <w:numId w:val="1011"/>
        </w:numPr>
        <w:pStyle w:val="Compact"/>
      </w:pPr>
      <w:r>
        <w:t xml:space="preserve">Recyclability Percentage: 70% (`yrxhvmzwku`)</w:t>
      </w:r>
    </w:p>
    <w:p>
      <w:pPr>
        <w:numPr>
          <w:ilvl w:val="0"/>
          <w:numId w:val="1011"/>
        </w:numPr>
        <w:pStyle w:val="Compact"/>
      </w:pPr>
      <w:r>
        <w:t xml:space="preserve">Circular/Take-back Programs: Active (`ugttfnrrgj`) - implies collected for proper EoL.</w:t>
      </w:r>
    </w:p>
    <w:bookmarkStart w:id="37" w:name="X81b647a5f116a60b1d7cad60842dbc868f0707c"/>
    <w:p>
      <w:pPr>
        <w:pStyle w:val="Heading4"/>
      </w:pPr>
      <w:r>
        <w:t xml:space="preserve">Waste to Landfill/Incineration (30% of product mass)</w:t>
      </w:r>
    </w:p>
    <w:p>
      <w:pPr>
        <w:pStyle w:val="FirstParagraph"/>
      </w:pPr>
      <w:r>
        <w:t xml:space="preserve">Calculation: (1.0 kg * 0.30) * 0.5 kg CO2e/kg (landfill EF) = 0.15 kg CO2e/unit</w:t>
      </w:r>
    </w:p>
    <w:bookmarkEnd w:id="37"/>
    <w:bookmarkStart w:id="38" w:name="recycling-70-of-product-mass"/>
    <w:p>
      <w:pPr>
        <w:pStyle w:val="Heading4"/>
      </w:pPr>
      <w:r>
        <w:t xml:space="preserve">Recycling (70% of product mass)</w:t>
      </w:r>
    </w:p>
    <w:p>
      <w:pPr>
        <w:pStyle w:val="FirstParagraph"/>
      </w:pPr>
      <w:r>
        <w:t xml:space="preserve">For recycling, avoided emissions credits are often applied based on the difference in emissions between virgin material production and recycled material production. This can result in a negative emission value or a reduced positive emission value. For simplicity here, we assume a credit for 70% of the material.</w:t>
      </w:r>
    </w:p>
    <w:p>
      <w:pPr>
        <w:pStyle w:val="BodyText"/>
      </w:pPr>
      <w:r>
        <w:t xml:space="preserve">Illustrative avoided emissions credit for recycling (average): -1.5 kg CO2e/kg (e.g., for metals/plastics)</w:t>
      </w:r>
    </w:p>
    <w:p>
      <w:pPr>
        <w:pStyle w:val="BodyText"/>
      </w:pPr>
      <w:r>
        <w:t xml:space="preserve">Calculation: (1.0 kg * 0.70) * -1.5 kg CO2e/kg = -1.05 kg CO2e/unit</w:t>
      </w:r>
    </w:p>
    <w:p>
      <w:pPr>
        <w:pStyle w:val="BodyText"/>
      </w:pPr>
      <w:r>
        <w:rPr>
          <w:bCs/>
          <w:b/>
        </w:rPr>
        <w:t xml:space="preserve">Total End-of-Life Emissions: 0.15 kg + (-1.05 kg) = -0.90 kg CO2e/unit</w:t>
      </w:r>
      <w:r>
        <w:t xml:space="preserve"> </w:t>
      </w:r>
      <w:r>
        <w:t xml:space="preserve">(Net saving)</w:t>
      </w:r>
    </w:p>
    <w:p>
      <w:pPr>
        <w:pStyle w:val="BodyText"/>
      </w:pPr>
      <w:r>
        <w:t xml:space="preserve">The active circular/take-back programs (`ugttfnrrgj`) facilitate the high recyclability percentage and contribute to the net negative emissions in this phase.</w:t>
      </w:r>
    </w:p>
    <w:bookmarkEnd w:id="38"/>
    <w:bookmarkEnd w:id="39"/>
    <w:bookmarkEnd w:id="40"/>
    <w:bookmarkStart w:id="43" w:name="summary-of-product-carbon-footprint-pcf"/>
    <w:p>
      <w:pPr>
        <w:pStyle w:val="Heading2"/>
      </w:pPr>
      <w:r>
        <w:t xml:space="preserve">4. Summary of Product Carbon Footprint (PCF)</w:t>
      </w:r>
    </w:p>
    <w:bookmarkStart w:id="41" w:name="pcf-by-lifecycle-stage"/>
    <w:p>
      <w:pPr>
        <w:pStyle w:val="Heading3"/>
      </w:pPr>
      <w:r>
        <w:t xml:space="preserve">4.1.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7.35</w:t>
            </w:r>
          </w:p>
        </w:tc>
        <w:tc>
          <w:tcPr/>
          <w:p>
            <w:pPr>
              <w:pStyle w:val="Compact"/>
              <w:jc w:val="left"/>
            </w:pPr>
            <w:r>
              <w:t xml:space="preserve">38.2%</w:t>
            </w:r>
          </w:p>
        </w:tc>
      </w:tr>
      <w:tr>
        <w:tc>
          <w:tcPr/>
          <w:p>
            <w:pPr>
              <w:pStyle w:val="Compact"/>
              <w:jc w:val="left"/>
            </w:pPr>
            <w:r>
              <w:t xml:space="preserve">Production (Manufacturing)</w:t>
            </w:r>
          </w:p>
        </w:tc>
        <w:tc>
          <w:tcPr/>
          <w:p>
            <w:pPr>
              <w:pStyle w:val="Compact"/>
              <w:jc w:val="left"/>
            </w:pPr>
            <w:r>
              <w:t xml:space="preserve">0.60</w:t>
            </w:r>
          </w:p>
        </w:tc>
        <w:tc>
          <w:tcPr/>
          <w:p>
            <w:pPr>
              <w:pStyle w:val="Compact"/>
              <w:jc w:val="left"/>
            </w:pPr>
            <w:r>
              <w:t xml:space="preserve">3.1%</w:t>
            </w:r>
          </w:p>
        </w:tc>
      </w:tr>
      <w:tr>
        <w:tc>
          <w:tcPr/>
          <w:p>
            <w:pPr>
              <w:pStyle w:val="Compact"/>
              <w:jc w:val="left"/>
            </w:pPr>
            <w:r>
              <w:t xml:space="preserve">Transport &amp; Logistics (Upstream &amp; Downstream)</w:t>
            </w:r>
          </w:p>
        </w:tc>
        <w:tc>
          <w:tcPr/>
          <w:p>
            <w:pPr>
              <w:pStyle w:val="Compact"/>
              <w:jc w:val="left"/>
            </w:pPr>
            <w:r>
              <w:t xml:space="preserve">0.15</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64.9%</w:t>
            </w:r>
          </w:p>
        </w:tc>
      </w:tr>
      <w:tr>
        <w:tc>
          <w:tcPr/>
          <w:p>
            <w:pPr>
              <w:pStyle w:val="Compact"/>
              <w:jc w:val="left"/>
            </w:pPr>
            <w:r>
              <w:t xml:space="preserve">End-of-Life</w:t>
            </w:r>
          </w:p>
        </w:tc>
        <w:tc>
          <w:tcPr/>
          <w:p>
            <w:pPr>
              <w:pStyle w:val="Compact"/>
              <w:jc w:val="left"/>
            </w:pPr>
            <w:r>
              <w:t xml:space="preserve">-0.90</w:t>
            </w:r>
          </w:p>
        </w:tc>
        <w:tc>
          <w:tcPr/>
          <w:p>
            <w:pPr>
              <w:pStyle w:val="Compact"/>
              <w:jc w:val="left"/>
            </w:pPr>
            <w:r>
              <w:t xml:space="preserve">-4.7%</w:t>
            </w:r>
          </w:p>
        </w:tc>
      </w:tr>
      <w:tr>
        <w:tc>
          <w:tcPr/>
          <w:p>
            <w:pPr>
              <w:pStyle w:val="Compact"/>
              <w:jc w:val="left"/>
            </w:pPr>
            <w:r>
              <w:rPr>
                <w:bCs/>
                <w:b/>
              </w:rPr>
              <w:t xml:space="preserve">TOTAL PCF</w:t>
            </w:r>
          </w:p>
        </w:tc>
        <w:tc>
          <w:tcPr/>
          <w:p>
            <w:pPr>
              <w:pStyle w:val="Compact"/>
              <w:jc w:val="left"/>
            </w:pPr>
            <w:r>
              <w:rPr>
                <w:bCs/>
                <w:b/>
              </w:rPr>
              <w:t xml:space="preserve">19.70</w:t>
            </w:r>
          </w:p>
        </w:tc>
        <w:tc>
          <w:tcPr/>
          <w:p>
            <w:pPr>
              <w:pStyle w:val="Compact"/>
              <w:jc w:val="left"/>
            </w:pPr>
            <w:r>
              <w:rPr>
                <w:bCs/>
                <w:b/>
              </w:rPr>
              <w:t xml:space="preserve">100.0%</w:t>
            </w:r>
          </w:p>
        </w:tc>
      </w:tr>
    </w:tbl>
    <w:p>
      <w:pPr>
        <w:pStyle w:val="BodyText"/>
      </w:pPr>
      <w:r>
        <w:rPr>
          <w:bCs/>
          <w:b/>
        </w:rPr>
        <w:t xml:space="preserve">The total Product Carbon Footprint for one unit of wmiuemfikw is 19.70 kg CO2e.</w:t>
      </w:r>
    </w:p>
    <w:bookmarkEnd w:id="41"/>
    <w:bookmarkStart w:id="42" w:name="pcf-by-ghg-protocol-scope"/>
    <w:p>
      <w:pPr>
        <w:pStyle w:val="Heading3"/>
      </w:pPr>
      <w:r>
        <w:t xml:space="preserve">4.2. PCF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 Included</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owned/controlled sources (e.g., on-site fuel combustion)</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(production in China)</w:t>
            </w:r>
          </w:p>
        </w:tc>
        <w:tc>
          <w:tcPr/>
          <w:p>
            <w:pPr>
              <w:pStyle w:val="Compact"/>
              <w:jc w:val="left"/>
            </w:pPr>
            <w:r>
              <w:t xml:space="preserve">0.60</w:t>
            </w:r>
          </w:p>
        </w:tc>
        <w:tc>
          <w:tcPr/>
          <w:p>
            <w:pPr>
              <w:pStyle w:val="Compact"/>
              <w:jc w:val="left"/>
            </w:pPr>
            <w:r>
              <w:t xml:space="preserve">3.1%</w:t>
            </w:r>
          </w:p>
        </w:tc>
      </w:tr>
      <w:tr>
        <w:tc>
          <w:tcPr/>
          <w:p>
            <w:pPr>
              <w:pStyle w:val="Compact"/>
              <w:jc w:val="left"/>
            </w:pPr>
            <w:r>
              <w:rPr>
                <w:bCs/>
                <w:b/>
              </w:rPr>
              <w:t xml:space="preserve">Scope 3</w:t>
            </w:r>
          </w:p>
        </w:tc>
        <w:tc>
          <w:tcPr/>
          <w:p>
            <w:pPr>
              <w:pStyle w:val="Compact"/>
              <w:jc w:val="left"/>
            </w:pPr>
            <w:r>
              <w:t xml:space="preserve">All other indirect emissions in the value chain:</w:t>
            </w:r>
          </w:p>
        </w:tc>
        <w:tc>
          <w:tcPr/>
          <w:p>
            <w:pPr>
              <w:pStyle w:val="Compact"/>
              <w:jc w:val="left"/>
            </w:pPr>
            <w:r>
              <w:t xml:space="preserve">19.10</w:t>
            </w:r>
          </w:p>
        </w:tc>
        <w:tc>
          <w:tcPr/>
          <w:p>
            <w:pPr>
              <w:pStyle w:val="Compact"/>
              <w:jc w:val="left"/>
            </w:pPr>
            <w:r>
              <w:t xml:space="preserve">96.9%</w:t>
            </w:r>
          </w:p>
        </w:tc>
      </w:tr>
      <w:tr>
        <w:tc>
          <w:tcPr/>
          <w:p>
            <w:pPr>
              <w:pStyle w:val="Compact"/>
              <w:jc w:val="left"/>
            </w:pPr>
            <w:r>
              <w:t xml:space="preserve">    Category 1 (Upstream materials)</w:t>
            </w:r>
          </w:p>
        </w:tc>
        <w:tc>
          <w:tcPr/>
          <w:p>
            <w:pPr>
              <w:pStyle w:val="Compact"/>
              <w:jc w:val="left"/>
            </w:pPr>
            <w:r>
              <w:t xml:space="preserve">Materials Acquisition &amp; Pre-processing</w:t>
            </w:r>
          </w:p>
        </w:tc>
        <w:tc>
          <w:tcPr/>
          <w:p>
            <w:pPr>
              <w:pStyle w:val="Compact"/>
              <w:jc w:val="left"/>
            </w:pPr>
            <w:r>
              <w:t xml:space="preserve">7.35</w:t>
            </w:r>
          </w:p>
        </w:tc>
        <w:tc>
          <w:tcPr/>
          <w:p>
            <w:pPr>
              <w:pStyle w:val="Compact"/>
              <w:jc w:val="left"/>
            </w:pPr>
            <w:r>
              <w:t xml:space="preserve">37.3%</w:t>
            </w:r>
          </w:p>
        </w:tc>
      </w:tr>
      <w:tr>
        <w:tc>
          <w:tcPr/>
          <w:p>
            <w:pPr>
              <w:pStyle w:val="Compact"/>
              <w:jc w:val="left"/>
            </w:pPr>
            <w:r>
              <w:t xml:space="preserve">    Category 4 (Upstream transport)</w:t>
            </w:r>
          </w:p>
        </w:tc>
        <w:tc>
          <w:tcPr/>
          <w:p>
            <w:pPr>
              <w:pStyle w:val="Compact"/>
              <w:jc w:val="left"/>
            </w:pPr>
            <w:r>
              <w:t xml:space="preserve">Inbound Transport</w:t>
            </w:r>
          </w:p>
        </w:tc>
        <w:tc>
          <w:tcPr/>
          <w:p>
            <w:pPr>
              <w:pStyle w:val="Compact"/>
              <w:jc w:val="left"/>
            </w:pPr>
            <w:r>
              <w:t xml:space="preserve">0.05</w:t>
            </w:r>
          </w:p>
        </w:tc>
        <w:tc>
          <w:tcPr/>
          <w:p>
            <w:pPr>
              <w:pStyle w:val="Compact"/>
              <w:jc w:val="left"/>
            </w:pPr>
            <w:r>
              <w:t xml:space="preserve">0.3%</w:t>
            </w:r>
          </w:p>
        </w:tc>
      </w:tr>
      <w:tr>
        <w:tc>
          <w:tcPr/>
          <w:p>
            <w:pPr>
              <w:pStyle w:val="Compact"/>
              <w:jc w:val="left"/>
            </w:pPr>
            <w:r>
              <w:t xml:space="preserve">    Category 9 (Downstream transport)</w:t>
            </w:r>
          </w:p>
        </w:tc>
        <w:tc>
          <w:tcPr/>
          <w:p>
            <w:pPr>
              <w:pStyle w:val="Compact"/>
              <w:jc w:val="left"/>
            </w:pPr>
            <w:r>
              <w:t xml:space="preserve">Outbound Transport &amp; Last-Mile Delivery</w:t>
            </w:r>
          </w:p>
        </w:tc>
        <w:tc>
          <w:tcPr/>
          <w:p>
            <w:pPr>
              <w:pStyle w:val="Compact"/>
              <w:jc w:val="left"/>
            </w:pPr>
            <w:r>
              <w:t xml:space="preserve">0.10</w:t>
            </w:r>
          </w:p>
        </w:tc>
        <w:tc>
          <w:tcPr/>
          <w:p>
            <w:pPr>
              <w:pStyle w:val="Compact"/>
              <w:jc w:val="left"/>
            </w:pPr>
            <w:r>
              <w:t xml:space="preserve">0.5%</w:t>
            </w:r>
          </w:p>
        </w:tc>
      </w:tr>
      <w:tr>
        <w:tc>
          <w:tcPr/>
          <w:p>
            <w:pPr>
              <w:pStyle w:val="Compact"/>
              <w:jc w:val="left"/>
            </w:pPr>
            <w:r>
              <w:t xml:space="preserve">    Category 11 (Use phase)</w:t>
            </w:r>
          </w:p>
        </w:tc>
        <w:tc>
          <w:tcPr/>
          <w:p>
            <w:pPr>
              <w:pStyle w:val="Compact"/>
              <w:jc w:val="left"/>
            </w:pPr>
            <w:r>
              <w:t xml:space="preserve">Energy Consumption in Use</w:t>
            </w:r>
          </w:p>
        </w:tc>
        <w:tc>
          <w:tcPr/>
          <w:p>
            <w:pPr>
              <w:pStyle w:val="Compact"/>
              <w:jc w:val="left"/>
            </w:pPr>
            <w:r>
              <w:t xml:space="preserve">12.50</w:t>
            </w:r>
          </w:p>
        </w:tc>
        <w:tc>
          <w:tcPr/>
          <w:p>
            <w:pPr>
              <w:pStyle w:val="Compact"/>
              <w:jc w:val="left"/>
            </w:pPr>
            <w:r>
              <w:t xml:space="preserve">63.5%</w:t>
            </w:r>
          </w:p>
        </w:tc>
      </w:tr>
      <w:tr>
        <w:tc>
          <w:tcPr/>
          <w:p>
            <w:pPr>
              <w:pStyle w:val="Compact"/>
              <w:jc w:val="left"/>
            </w:pPr>
            <w:r>
              <w:t xml:space="preserve">    Category 12 (End-of-Life)</w:t>
            </w:r>
          </w:p>
        </w:tc>
        <w:tc>
          <w:tcPr/>
          <w:p>
            <w:pPr>
              <w:pStyle w:val="Compact"/>
              <w:jc w:val="left"/>
            </w:pPr>
            <w:r>
              <w:t xml:space="preserve">Waste Treatment &amp; Recycling</w:t>
            </w:r>
          </w:p>
        </w:tc>
        <w:tc>
          <w:tcPr/>
          <w:p>
            <w:pPr>
              <w:pStyle w:val="Compact"/>
              <w:jc w:val="left"/>
            </w:pPr>
            <w:r>
              <w:t xml:space="preserve">-0.90</w:t>
            </w:r>
          </w:p>
        </w:tc>
        <w:tc>
          <w:tcPr/>
          <w:p>
            <w:pPr>
              <w:pStyle w:val="Compact"/>
              <w:jc w:val="left"/>
            </w:pPr>
            <w:r>
              <w:t xml:space="preserve">-4.6%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19.70</w:t>
            </w:r>
          </w:p>
        </w:tc>
        <w:tc>
          <w:tcPr/>
          <w:p>
            <w:pPr>
              <w:pStyle w:val="Compact"/>
              <w:jc w:val="left"/>
            </w:pPr>
            <w:r>
              <w:rPr>
                <w:bCs/>
                <w:b/>
              </w:rPr>
              <w:t xml:space="preserve">100.0%</w:t>
            </w:r>
          </w:p>
        </w:tc>
      </w:tr>
    </w:tbl>
    <w:p>
      <w:pPr>
        <w:pStyle w:val="BodyText"/>
      </w:pPr>
      <w:r>
        <w:t xml:space="preserve">As mandated by the 2026 GHG Protocol requirements, Scope 3 emissions comprise approximately 96.9% of the total PCF, demonstrating robust coverage of the value chain.</w:t>
      </w:r>
    </w:p>
    <w:bookmarkEnd w:id="42"/>
    <w:bookmarkEnd w:id="43"/>
    <w:bookmarkStart w:id="46" w:name="hotspots-and-recommendations"/>
    <w:p>
      <w:pPr>
        <w:pStyle w:val="Heading2"/>
      </w:pPr>
      <w:r>
        <w:t xml:space="preserve">5. Hotspots and Recommendations</w:t>
      </w:r>
    </w:p>
    <w:bookmarkStart w:id="44" w:name="emission-hotspots"/>
    <w:p>
      <w:pPr>
        <w:pStyle w:val="Heading3"/>
      </w:pPr>
      <w:r>
        <w:t xml:space="preserve">5.1. Emission Hotspots</w:t>
      </w:r>
    </w:p>
    <w:p>
      <w:pPr>
        <w:pStyle w:val="FirstParagraph"/>
      </w:pPr>
      <w:r>
        <w:t xml:space="preserve">The analysis reveals critical emission hotspots for wmiuemfikw:</w:t>
      </w:r>
    </w:p>
    <w:p>
      <w:pPr>
        <w:numPr>
          <w:ilvl w:val="0"/>
          <w:numId w:val="1012"/>
        </w:numPr>
        <w:pStyle w:val="Compact"/>
      </w:pPr>
      <w:r>
        <w:rPr>
          <w:bCs/>
          <w:b/>
        </w:rPr>
        <w:t xml:space="preserve">Use Phase (63.5%):</w:t>
      </w:r>
      <w:r>
        <w:t xml:space="preserve"> </w:t>
      </w:r>
      <w:r>
        <w:t xml:space="preserve">The largest contributor to the PCF is the energy consumption during the product\'s lifespan. This suggests that the product\'s operational efficiency is a primary driver of its overall environmental impact.</w:t>
      </w:r>
    </w:p>
    <w:p>
      <w:pPr>
        <w:numPr>
          <w:ilvl w:val="0"/>
          <w:numId w:val="1012"/>
        </w:numPr>
        <w:pStyle w:val="Compact"/>
      </w:pPr>
      <w:r>
        <w:rPr>
          <w:bCs/>
          <w:b/>
        </w:rPr>
        <w:t xml:space="preserve">Materials Acquisition &amp; Pre-processing (37.3%):</w:t>
      </w:r>
      <w:r>
        <w:t xml:space="preserve"> </w:t>
      </w:r>
      <w:r>
        <w:t xml:space="preserve">Upstream material production, particularly for components like aluminum and lithium-ion batteries, represents a significant portion of the footprint.</w:t>
      </w:r>
    </w:p>
    <w:p>
      <w:pPr>
        <w:numPr>
          <w:ilvl w:val="0"/>
          <w:numId w:val="1012"/>
        </w:numPr>
        <w:pStyle w:val="Compact"/>
      </w:pPr>
      <w:r>
        <w:rPr>
          <w:bCs/>
          <w:b/>
        </w:rPr>
        <w:t xml:space="preserve">Production (3.1%):</w:t>
      </w:r>
      <w:r>
        <w:t xml:space="preserve"> </w:t>
      </w:r>
      <w:r>
        <w:t xml:space="preserve">While not the largest, the energy used in the manufacturing process is notable, especially considering the reliance on the Chinese grid mix.</w:t>
      </w:r>
    </w:p>
    <w:bookmarkEnd w:id="44"/>
    <w:bookmarkStart w:id="45" w:name="recommendations-for-donntnuyxd"/>
    <w:p>
      <w:pPr>
        <w:pStyle w:val="Heading3"/>
      </w:pPr>
      <w:r>
        <w:t xml:space="preserve">5.2. Recommendations for donntnuyxd</w:t>
      </w:r>
    </w:p>
    <w:p>
      <w:pPr>
        <w:pStyle w:val="FirstParagraph"/>
      </w:pPr>
      <w:r>
        <w:t xml:space="preserve">To mitigate the carbon footprint of wmiuemfikw, the following strategic recommendations are provided:</w:t>
      </w:r>
    </w:p>
    <w:p>
      <w:pPr>
        <w:numPr>
          <w:ilvl w:val="0"/>
          <w:numId w:val="1013"/>
        </w:numPr>
        <w:pStyle w:val="Compact"/>
      </w:pPr>
      <w:r>
        <w:rPr>
          <w:bCs/>
          <w:b/>
        </w:rPr>
        <w:t xml:space="preserve">Enhance Use Phase Efficiency:</w:t>
      </w:r>
    </w:p>
    <w:p>
      <w:pPr>
        <w:numPr>
          <w:ilvl w:val="1"/>
          <w:numId w:val="1014"/>
        </w:numPr>
        <w:pStyle w:val="Compact"/>
      </w:pPr>
      <w:r>
        <w:rPr>
          <w:bCs/>
          <w:b/>
        </w:rPr>
        <w:t xml:space="preserve">Design for Energy Efficiency:</w:t>
      </w:r>
      <w:r>
        <w:t xml:space="preserve"> </w:t>
      </w:r>
      <w:r>
        <w:t xml:space="preserve">Prioritize R&amp;D into lower-power components and intelligent energy management systems for the product\'s next iterations.</w:t>
      </w:r>
    </w:p>
    <w:p>
      <w:pPr>
        <w:numPr>
          <w:ilvl w:val="1"/>
          <w:numId w:val="1014"/>
        </w:numPr>
        <w:pStyle w:val="Compact"/>
      </w:pPr>
      <w:r>
        <w:rPr>
          <w:bCs/>
          <w:b/>
        </w:rPr>
        <w:t xml:space="preserve">Promote Renewable Energy Adoption:</w:t>
      </w:r>
      <w:r>
        <w:t xml:space="preserve"> </w:t>
      </w:r>
      <w:r>
        <w:t xml:space="preserve">Encourage end-users to power the product with renewable electricity through educational campaigns or partnerships.</w:t>
      </w:r>
    </w:p>
    <w:p>
      <w:pPr>
        <w:numPr>
          <w:ilvl w:val="1"/>
          <w:numId w:val="1014"/>
        </w:numPr>
        <w:pStyle w:val="Compact"/>
      </w:pPr>
      <w:r>
        <w:rPr>
          <w:bCs/>
          <w:b/>
        </w:rPr>
        <w:t xml:space="preserve">Optimize Lifespan vs. Energy:</w:t>
      </w:r>
      <w:r>
        <w:t xml:space="preserve"> </w:t>
      </w:r>
      <w:r>
        <w:t xml:space="preserve">Evaluate if extending product lifespan has diminishing returns if older products become less energy-efficient. Focus on overall lifetime impact.</w:t>
      </w:r>
    </w:p>
    <w:p>
      <w:pPr>
        <w:numPr>
          <w:ilvl w:val="0"/>
          <w:numId w:val="1013"/>
        </w:numPr>
        <w:pStyle w:val="Compact"/>
      </w:pPr>
      <w:r>
        <w:rPr>
          <w:bCs/>
          <w:b/>
        </w:rPr>
        <w:t xml:space="preserve">Sustainable Material Sourcing:</w:t>
      </w:r>
    </w:p>
    <w:p>
      <w:pPr>
        <w:numPr>
          <w:ilvl w:val="1"/>
          <w:numId w:val="1015"/>
        </w:numPr>
        <w:pStyle w:val="Compact"/>
      </w:pPr>
      <w:r>
        <w:rPr>
          <w:bCs/>
          <w:b/>
        </w:rPr>
        <w:t xml:space="preserve">Low-Carbon Materials:</w:t>
      </w:r>
      <w:r>
        <w:t xml:space="preserve"> </w:t>
      </w:r>
      <w:r>
        <w:t xml:space="preserve">Investigate and prioritize sourcing materials with inherently lower embodied carbon, such as recycled aluminum, bio-based plastics, or components produced with renewable energy.</w:t>
      </w:r>
    </w:p>
    <w:p>
      <w:pPr>
        <w:numPr>
          <w:ilvl w:val="1"/>
          <w:numId w:val="1015"/>
        </w:numPr>
        <w:pStyle w:val="Compact"/>
      </w:pPr>
      <w:r>
        <w:rPr>
          <w:bCs/>
          <w:b/>
        </w:rPr>
        <w:t xml:space="preserve">Supplier Engagement:</w:t>
      </w:r>
      <w:r>
        <w:t xml:space="preserve"> </w:t>
      </w:r>
      <w:r>
        <w:t xml:space="preserve">Collaborate with key material suppliers to understand their decarbonization efforts and encourage the adoption of cleaner production processes.</w:t>
      </w:r>
    </w:p>
    <w:p>
      <w:pPr>
        <w:numPr>
          <w:ilvl w:val="1"/>
          <w:numId w:val="1015"/>
        </w:numPr>
        <w:pStyle w:val="Compact"/>
      </w:pPr>
      <w:r>
        <w:rPr>
          <w:bCs/>
          <w:b/>
        </w:rPr>
        <w:t xml:space="preserve">Design for Lightweighting:</w:t>
      </w:r>
      <w:r>
        <w:t xml:space="preserve"> </w:t>
      </w:r>
      <w:r>
        <w:t xml:space="preserve">Reduce material intensity where possible without compromising product functionality or durability.</w:t>
      </w:r>
    </w:p>
    <w:p>
      <w:pPr>
        <w:numPr>
          <w:ilvl w:val="0"/>
          <w:numId w:val="1013"/>
        </w:numPr>
        <w:pStyle w:val="Compact"/>
      </w:pPr>
      <w:r>
        <w:rPr>
          <w:bCs/>
          <w:b/>
        </w:rPr>
        <w:t xml:space="preserve">Decarbonize Production:</w:t>
      </w:r>
    </w:p>
    <w:p>
      <w:pPr>
        <w:numPr>
          <w:ilvl w:val="1"/>
          <w:numId w:val="1016"/>
        </w:numPr>
        <w:pStyle w:val="Compact"/>
      </w:pPr>
      <w:r>
        <w:rPr>
          <w:bCs/>
          <w:b/>
        </w:rPr>
        <w:t xml:space="preserve">Increase Renewable Energy Procurement:</w:t>
      </w:r>
      <w:r>
        <w:t xml:space="preserve"> </w:t>
      </w:r>
      <w:r>
        <w:t xml:space="preserve">Explore options for purchasing 100% renewable electricity for the manufacturing facility in China, either directly or via Renewable Energy Certificates (RECs) or Power Purchase Agreements (PPAs).</w:t>
      </w:r>
    </w:p>
    <w:p>
      <w:pPr>
        <w:numPr>
          <w:ilvl w:val="1"/>
          <w:numId w:val="1016"/>
        </w:numPr>
        <w:pStyle w:val="Compact"/>
      </w:pPr>
      <w:r>
        <w:rPr>
          <w:bCs/>
          <w:b/>
        </w:rPr>
        <w:t xml:space="preserve">Process Optimization:</w:t>
      </w:r>
      <w:r>
        <w:t xml:space="preserve"> </w:t>
      </w:r>
      <w:r>
        <w:t xml:space="preserve">Implement energy-efficient manufacturing techniques and equipment to reduce overall energy intensity.</w:t>
      </w:r>
    </w:p>
    <w:p>
      <w:pPr>
        <w:numPr>
          <w:ilvl w:val="0"/>
          <w:numId w:val="1013"/>
        </w:numPr>
        <w:pStyle w:val="Compact"/>
      </w:pPr>
      <w:r>
        <w:rPr>
          <w:bCs/>
          <w:b/>
        </w:rPr>
        <w:t xml:space="preserve">Strengthen Circular Economy Initiatives:</w:t>
      </w:r>
    </w:p>
    <w:p>
      <w:pPr>
        <w:numPr>
          <w:ilvl w:val="1"/>
          <w:numId w:val="1017"/>
        </w:numPr>
        <w:pStyle w:val="Compact"/>
      </w:pPr>
      <w:r>
        <w:rPr>
          <w:bCs/>
          <w:b/>
        </w:rPr>
        <w:t xml:space="preserve">Expand Take-back Programs:</w:t>
      </w:r>
      <w:r>
        <w:t xml:space="preserve"> </w:t>
      </w:r>
      <w:r>
        <w:t xml:space="preserve">Continue and expand the effectiveness of circular/take-back programs (`ugttfnrrgj`) to maximize collection rates and ensure high-quality recycling.</w:t>
      </w:r>
    </w:p>
    <w:p>
      <w:pPr>
        <w:numPr>
          <w:ilvl w:val="1"/>
          <w:numId w:val="1017"/>
        </w:numPr>
        <w:pStyle w:val="Compact"/>
      </w:pPr>
      <w:r>
        <w:rPr>
          <w:bCs/>
          <w:b/>
        </w:rPr>
        <w:t xml:space="preserve">Design for Disassembly and Recyclability:</w:t>
      </w:r>
      <w:r>
        <w:t xml:space="preserve"> </w:t>
      </w:r>
      <w:r>
        <w:t xml:space="preserve">Integrate design principles that facilitate easy disassembly and material separation at end-of-life, further improving the actual recyclability percentage (`yrxhvmzwku`).</w:t>
      </w:r>
    </w:p>
    <w:p>
      <w:pPr>
        <w:numPr>
          <w:ilvl w:val="0"/>
          <w:numId w:val="1013"/>
        </w:numPr>
        <w:pStyle w:val="Compact"/>
      </w:pPr>
      <w:r>
        <w:rPr>
          <w:bCs/>
          <w:b/>
        </w:rPr>
        <w:t xml:space="preserve">Data Refinement:</w:t>
      </w:r>
    </w:p>
    <w:p>
      <w:pPr>
        <w:numPr>
          <w:ilvl w:val="1"/>
          <w:numId w:val="1018"/>
        </w:numPr>
        <w:pStyle w:val="Compact"/>
      </w:pPr>
      <w:r>
        <w:rPr>
          <w:bCs/>
          <w:b/>
        </w:rPr>
        <w:t xml:space="preserve">Primary Data for Transport:</w:t>
      </w:r>
      <w:r>
        <w:t xml:space="preserve"> </w:t>
      </w:r>
      <w:r>
        <w:t xml:space="preserve">Collect more specific data for transport modes, distances, and vehicle types (beyond `Select Mode` and `Delivery Type` placeholders) to enhance accuracy.</w:t>
      </w:r>
    </w:p>
    <w:p>
      <w:pPr>
        <w:numPr>
          <w:ilvl w:val="1"/>
          <w:numId w:val="1018"/>
        </w:numPr>
        <w:pStyle w:val="Compact"/>
      </w:pPr>
      <w:r>
        <w:rPr>
          <w:bCs/>
          <w:b/>
        </w:rPr>
        <w:t xml:space="preserve">Geographic-Specific EFs:</w:t>
      </w:r>
      <w:r>
        <w:t xml:space="preserve"> </w:t>
      </w:r>
      <w:r>
        <w:t xml:space="preserve">Utilize more granular, country-specific emission factors for electricity grids, especially for key markets, to reflect regional variations more accurately.</w:t>
      </w:r>
    </w:p>
    <w:p>
      <w:r>
        <w:pict>
          <v:rect style="width:0;height:1.5pt" o:hralign="center" o:hrstd="t" o:hr="t"/>
        </w:pict>
      </w:r>
    </w:p>
    <w:p>
      <w:pPr>
        <w:pStyle w:val="FirstParagraph"/>
      </w:pPr>
      <w:r>
        <w:t xml:space="preserve">This report provides a foundational understanding of the carbon footprint of wmiuemfikw. Continued monitoring and proactive implementation of the recommended strategies will be crucial for</w:t>
      </w:r>
      <w:r>
        <w:t xml:space="preserve"> </w:t>
      </w:r>
      <w:r>
        <w:rPr>
          <w:bCs/>
          <w:b/>
        </w:rPr>
        <w:t xml:space="preserve">donntnuyxd</w:t>
      </w:r>
      <w:r>
        <w:t xml:space="preserve">\'s journey towards sustainability leadership.</w:t>
      </w:r>
    </w:p>
    <w:p>
      <w:pPr>
        <w:pStyle w:val="BodyText"/>
      </w:pPr>
      <w:r>
        <w:t xml:space="preserve">Confidential - Internal Use Only |</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wmiuemfikw - donntnuyxd</dc:title>
  <dc:creator/>
  <dc:description>A high-detail Product Carbon Footprint (PCF) analysis report for wmiuemfikw, conducted by Senior Sustainability Consultant ngusnppemk for donntnuyxd, adhering to GHG Protocol standards and 2026 LSR updates.</dc:description>
  <dc:language>en</dc:language>
  <cp:keywords/>
  <dcterms:created xsi:type="dcterms:W3CDTF">2026-05-30T14:54:52Z</dcterms:created>
  <dcterms:modified xsi:type="dcterms:W3CDTF">2026-05-30T14:54:52Z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