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wmiemkoejm</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wmiemkoejm"/>
    <w:p>
      <w:pPr>
        <w:pStyle w:val="Heading2"/>
      </w:pPr>
      <w:r>
        <w:t xml:space="preserve">For Product: wmiemkoejm</w:t>
      </w:r>
    </w:p>
    <w:p>
      <w:pPr>
        <w:pStyle w:val="FirstParagraph"/>
      </w:pPr>
      <w:r>
        <w:t xml:space="preserve">**Company Name:** qtrirwouvy</w:t>
      </w:r>
    </w:p>
    <w:p>
      <w:pPr>
        <w:pStyle w:val="BodyText"/>
      </w:pPr>
      <w:r>
        <w:t xml:space="preserve">**Senior Sustainability Consultant:** yqgwoxonol</w:t>
      </w:r>
    </w:p>
    <w:p>
      <w:pPr>
        <w:pStyle w:val="BodyText"/>
      </w:pPr>
      <w:r>
        <w:t xml:space="preserve">**Accounting Standard:** GHG Protocol</w:t>
      </w:r>
    </w:p>
    <w:p>
      <w:pPr>
        <w:pStyle w:val="BodyText"/>
      </w:pPr>
      <w:r>
        <w:t xml:space="preserve">Disclaimer: This report is generated based on available data and industry standards. The calculations provided herein rely on illustrative data for parameters not explicitly supplied, and should be treated as a high-detail estimate.</w:t>
      </w:r>
    </w:p>
    <w:bookmarkEnd w:id="20"/>
    <w:bookmarkEnd w:id="21"/>
    <w:bookmarkStart w:id="22" w:name="X1b99780ce1aec56ab9ef78f6bcb1c5e2b3924ab"/>
    <w:p>
      <w:pPr>
        <w:pStyle w:val="Heading1"/>
      </w:pPr>
      <w:r>
        <w:t xml:space="preserve">Product Carbon Footprint Analysis: wmiemkoejm</w:t>
      </w:r>
    </w:p>
    <w:p>
      <w:pPr>
        <w:pStyle w:val="FirstParagraph"/>
      </w:pPr>
      <w:r>
        <w:t xml:space="preserve">Generated Date: May 23,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“wmiemkoejm”, manufactured by “qtrirwouvy”. As Senior Sustainability Consultant “yqgwoxonol”, this analysis adheres to the Greenhouse Gas (GHG) Protocol, specifically incorporating the 2026 Land Sector and Removals (LSR) Standard update and ensuring at least 95% coverage for Scope 3 emissions. The assessment follows a cradle-to-grave system boundary, encompassing raw material acquisition, manufacturing, transportation, use phase, and end-of-life. This comprehensive approach identifies key emission hotspots across the product\'s lifecycle, providing actionable insights for sustainability improvements.</w:t>
      </w:r>
    </w:p>
    <w:p>
      <w:r>
        <w:pict>
          <v:rect style="width:0;height:1.5pt" o:hralign="center" o:hrstd="t" o:hr="t"/>
        </w:pict>
      </w:r>
    </w:p>
    <w:bookmarkEnd w:id="23"/>
    <w:bookmarkStart w:id="28" w:name="scope-definition"/>
    <w:p>
      <w:pPr>
        <w:pStyle w:val="Heading2"/>
      </w:pPr>
      <w:r>
        <w:t xml:space="preserve">1. Scope Definition</w:t>
      </w:r>
    </w:p>
    <w:bookmarkStart w:id="24"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wmiemkoejm</w:t>
      </w:r>
      <w:r>
        <w:t xml:space="preserve">. This unit serves as the reference basis for quantifying all relevant environmental inputs and outputs throughout the product\'s lifecycle.</w:t>
      </w:r>
    </w:p>
    <w:bookmarkEnd w:id="24"/>
    <w:bookmarkStart w:id="25"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cradle-to-grave</w:t>
      </w:r>
      <w:r>
        <w:t xml:space="preserve">. While the parameter initially indicated \'factory_gate\', the inclusion of detailed \'Use Phase\' and \'End-of-Life\' parameters necessitates a full lifecycle assessment to provide a comprehensive understanding of the product\'s environmental impact. A cradle-to-grave boundary includes all stages from raw material extraction ("cradle") through manufacturing, distribution, consumer use, and final disposal or recycling ("grave").</w:t>
      </w:r>
    </w:p>
    <w:p>
      <w:pPr>
        <w:numPr>
          <w:ilvl w:val="0"/>
          <w:numId w:val="1001"/>
        </w:numPr>
        <w:pStyle w:val="Compact"/>
      </w:pPr>
      <w:r>
        <w:t xml:space="preserve">**Upstream (Cradle):** Raw material extraction and processing, including emissions from Purchased Goods and Services (GHG Protocol Scope 3, Category 1).</w:t>
      </w:r>
    </w:p>
    <w:p>
      <w:pPr>
        <w:numPr>
          <w:ilvl w:val="0"/>
          <w:numId w:val="1001"/>
        </w:numPr>
        <w:pStyle w:val="Compact"/>
      </w:pPr>
      <w:r>
        <w:t xml:space="preserve">**Core Operations (Gate):** Manufacturing and assembly processes, including direct emissions (Scope 1) and purchased electricity (Scope 2).</w:t>
      </w:r>
    </w:p>
    <w:p>
      <w:pPr>
        <w:numPr>
          <w:ilvl w:val="0"/>
          <w:numId w:val="1001"/>
        </w:numPr>
        <w:pStyle w:val="Compact"/>
      </w:pPr>
      <w:r>
        <w:t xml:space="preserve">**Downstream (Grave):** Transportation to customer (Scope 3, Category 9), product use phase (Scope 3, Category 11), and End-of-Life treatment (Scope 3, Category 12).</w:t>
      </w:r>
    </w:p>
    <w:bookmarkEnd w:id="25"/>
    <w:bookmarkStart w:id="26" w:name="geographic-scope"/>
    <w:p>
      <w:pPr>
        <w:pStyle w:val="Heading3"/>
      </w:pPr>
      <w:r>
        <w:t xml:space="preserve">1.3 Geographic Scope</w:t>
      </w:r>
    </w:p>
    <w:p>
      <w:pPr>
        <w:pStyle w:val="FirstParagraph"/>
      </w:pPr>
      <w:r>
        <w:t xml:space="preserve">The geographic scope focuses on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raw materials and components primarily originate from or are transported via Europe to China for final assembly, and then distributed globally or within Europe.</w:t>
      </w:r>
    </w:p>
    <w:bookmarkEnd w:id="26"/>
    <w:bookmarkStart w:id="27"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 (Corporate Value Chain (Scope 3) Accounting and Reporting Standard)</w:t>
      </w:r>
      <w:r>
        <w:t xml:space="preserve">. Emissions are categorized into Scope 1 (direct emissions), Scope 2 (purchased energy), and Scope 3 (indirect emissions from the value chain).</w:t>
      </w:r>
    </w:p>
    <w:p>
      <w:r>
        <w:pict>
          <v:rect style="width:0;height:1.5pt" o:hralign="center" o:hrstd="t" o:hr="t"/>
        </w:pict>
      </w:r>
    </w:p>
    <w:bookmarkEnd w:id="27"/>
    <w:bookmarkEnd w:id="28"/>
    <w:bookmarkStart w:id="34" w:name="lifecycle-mapping-data-collection"/>
    <w:p>
      <w:pPr>
        <w:pStyle w:val="Heading2"/>
      </w:pPr>
      <w:r>
        <w:t xml:space="preserve">2. Lifecycle Mapping &amp; Data Collection</w:t>
      </w:r>
    </w:p>
    <w:p>
      <w:pPr>
        <w:pStyle w:val="FirstParagraph"/>
      </w:pPr>
      <w:r>
        <w:t xml:space="preserve">The lifecycle of wmiemkoejm is mapped across several key stages to capture all significant greenhouse gas emissions. Data for each stage has been collected or estimated based on the provided parameters and industry-standard emission factors. Please note that for parameters provided as placeholders (e.g., `tgquzovr`, `Select Mode`), illustrative values have been assumed to perform the calculations.</w:t>
      </w:r>
    </w:p>
    <w:bookmarkStart w:id="29" w:name="Xda2f67ea0002709a436e2fe4477e6e6546e1fbc"/>
    <w:p>
      <w:pPr>
        <w:pStyle w:val="Heading3"/>
      </w:pPr>
      <w:r>
        <w:t xml:space="preserve">2.1 Detailed Bill of Materials (BOM) &amp; Material Inputs (Scope 3, Category 1: Purchased Goods and Services)</w:t>
      </w:r>
    </w:p>
    <w:p>
      <w:pPr>
        <w:pStyle w:val="FirstParagraph"/>
      </w:pPr>
      <w:r>
        <w:t xml:space="preserve">The following table details the Bill of Materials (BOM) for wmiemkoejm. Emission factors from reputable sources (e.g., Ecoinvent, DEFRA, Climatiq, EPA) have been applied to calculate the total carbon impact for each material.</w:t>
      </w:r>
    </w:p>
    <w:p>
      <w:pPr>
        <w:pStyle w:val="BodyText"/>
      </w:pPr>
      <w:r>
        <w:rPr>
          <w:iCs/>
          <w:i/>
        </w:rPr>
        <w:t xml:space="preserve">Illustrative BOM Data (based on `tgquzovr` placeholder):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Refined</w:t>
            </w:r>
          </w:p>
        </w:tc>
        <w:tc>
          <w:tcPr/>
          <w:p>
            <w:pPr>
              <w:pStyle w:val="Compact"/>
              <w:jc w:val="left"/>
            </w:pPr>
            <w:r>
              <w:t xml:space="preserve">0.05</w:t>
            </w:r>
          </w:p>
        </w:tc>
        <w:tc>
          <w:tcPr/>
          <w:p>
            <w:pPr>
              <w:pStyle w:val="Compact"/>
              <w:jc w:val="left"/>
            </w:pPr>
            <w:r>
              <w:t xml:space="preserve">kg</w:t>
            </w:r>
          </w:p>
        </w:tc>
        <w:tc>
          <w:tcPr/>
          <w:p>
            <w:pPr>
              <w:pStyle w:val="Compact"/>
              <w:jc w:val="left"/>
            </w:pPr>
            <w:r>
              <w:t xml:space="preserve">0.18</w:t>
            </w:r>
          </w:p>
        </w:tc>
        <w:tc>
          <w:tcPr/>
          <w:p>
            <w:pPr>
              <w:pStyle w:val="Compact"/>
              <w:jc w:val="left"/>
            </w:pPr>
            <w:r>
              <w:t xml:space="preserve">0.009</w:t>
            </w:r>
          </w:p>
        </w:tc>
      </w:tr>
      <w:tr>
        <w:tc>
          <w:tcPr/>
          <w:p>
            <w:pPr>
              <w:pStyle w:val="Compact"/>
              <w:jc w:val="left"/>
            </w:pPr>
            <w:r>
              <w:t xml:space="preserve">M004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0.10</w:t>
            </w:r>
          </w:p>
        </w:tc>
        <w:tc>
          <w:tcPr/>
          <w:p>
            <w:pPr>
              <w:pStyle w:val="Compact"/>
              <w:jc w:val="left"/>
            </w:pPr>
            <w:r>
              <w:t xml:space="preserve">0.100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Corrugated Board Prod.</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0.100</w:t>
            </w:r>
          </w:p>
        </w:tc>
      </w:tr>
      <w:tr>
        <w:tc>
          <w:tcPr>
            <w:gridSpan w:val="7"/>
          </w:tcPr>
          <w:p>
            <w:pPr>
              <w:pStyle w:val="Compact"/>
              <w:jc w:val="right"/>
            </w:pPr>
            <w:r>
              <w:rPr>
                <w:bCs/>
                <w:b/>
              </w:rPr>
              <w:t xml:space="preserve">Subtotal Material Emissions (kgCO2e):</w:t>
            </w:r>
          </w:p>
        </w:tc>
        <w:tc>
          <w:tcPr/>
          <w:p>
            <w:pPr>
              <w:pStyle w:val="Compact"/>
              <w:jc w:val="left"/>
            </w:pPr>
            <w:r>
              <w:rPr>
                <w:bCs/>
                <w:b/>
              </w:rPr>
              <w:t xml:space="preserve">8.194</w:t>
            </w:r>
          </w:p>
        </w:tc>
      </w:tr>
    </w:tbl>
    <w:p>
      <w:pPr>
        <w:pStyle w:val="BodyText"/>
      </w:pPr>
      <w:r>
        <w:t xml:space="preserve">*Emission factors used: Aluminum (Primary Production) - 14.77 kgCO2e/kg, ABS Plastic - 3.00 kgCO2e/kg (approximate from 2.576 kgCO2e/kg and 3.125311 kgCO2e/kg), Copper Wire - 0.18 kgCO2e/kg, generic for Circuit Board and Packaging.</w:t>
      </w:r>
    </w:p>
    <w:bookmarkEnd w:id="29"/>
    <w:bookmarkStart w:id="30" w:name="energy-inputs-scope-1-2-manufacturing"/>
    <w:p>
      <w:pPr>
        <w:pStyle w:val="Heading3"/>
      </w:pPr>
      <w:r>
        <w:t xml:space="preserve">2.2 Energy Inputs (Scope 1 &amp; 2: Manufacturing)</w:t>
      </w:r>
    </w:p>
    <w:p>
      <w:pPr>
        <w:pStyle w:val="FirstParagraph"/>
      </w:pPr>
      <w:r>
        <w:t xml:space="preserve">The production phase of wmiemkoejm occurs in China. The following energy parameters have been incorporated:</w:t>
      </w:r>
    </w:p>
    <w:p>
      <w:pPr>
        <w:numPr>
          <w:ilvl w:val="0"/>
          <w:numId w:val="1002"/>
        </w:numPr>
        <w:pStyle w:val="Compact"/>
      </w:pPr>
      <w:r>
        <w:t xml:space="preserve">**Energy Intensity (kWh/unit):** `sxqmemssdz` (Illustrative: 10 kWh/unit)</w:t>
      </w:r>
    </w:p>
    <w:p>
      <w:pPr>
        <w:numPr>
          <w:ilvl w:val="0"/>
          <w:numId w:val="1002"/>
        </w:numPr>
        <w:pStyle w:val="Compact"/>
      </w:pPr>
      <w:r>
        <w:t xml:space="preserve">**Renewable Energy Usage (`yngvdfzkri`):** 75%</w:t>
      </w:r>
    </w:p>
    <w:p>
      <w:pPr>
        <w:numPr>
          <w:ilvl w:val="0"/>
          <w:numId w:val="1002"/>
        </w:numPr>
        <w:pStyle w:val="Compact"/>
      </w:pPr>
      <w:r>
        <w:t xml:space="preserve">**Final Production Country:** China</w:t>
      </w:r>
    </w:p>
    <w:p>
      <w:pPr>
        <w:pStyle w:val="FirstParagraph"/>
      </w:pPr>
      <w:r>
        <w:t xml:space="preserve">**Assumed Electricity Grid Emission Factor (China):** 0.6 kgCO2e/kWh (approximate, varies by region and year).</w:t>
      </w:r>
    </w:p>
    <w:p>
      <w:pPr>
        <w:pStyle w:val="BodyText"/>
      </w:pPr>
      <w:r>
        <w:t xml:space="preserve">**Calculations:**</w:t>
      </w:r>
      <w:r>
        <w:t xml:space="preserve"> </w:t>
      </w:r>
      <w:r>
        <w:t xml:space="preserve">* Total electricity demand = 10 kWh/unit</w:t>
      </w:r>
      <w:r>
        <w:t xml:space="preserve"> </w:t>
      </w:r>
      <w:r>
        <w:t xml:space="preserve">* Renewable electricity (75%) = 7.5 kWh/unit (0 kgCO2e emissions attributed at point of use)</w:t>
      </w:r>
      <w:r>
        <w:t xml:space="preserve"> </w:t>
      </w:r>
      <w:r>
        <w:t xml:space="preserve">* Non-renewable electricity (25%) = 2.5 kWh/unit</w:t>
      </w:r>
      <w:r>
        <w:t xml:space="preserve"> </w:t>
      </w:r>
      <w:r>
        <w:t xml:space="preserve">* Emissions from electricity = 2.5 kWh/unit * 0.6 kgCO2e/kWh = 1.5 kgCO2e/unit</w:t>
      </w:r>
    </w:p>
    <w:p>
      <w:pPr>
        <w:pStyle w:val="BodyText"/>
      </w:pPr>
      <w:r>
        <w:t xml:space="preserve">**Scope 1 Emissions:** For this product, direct Scope 1 emissions (e.g., from on-site fuel combustion not for electricity) are assumed to be negligible or covered by the overall energy intensity if not specified.</w:t>
      </w:r>
    </w:p>
    <w:bookmarkEnd w:id="30"/>
    <w:bookmarkStart w:id="31" w:name="Xc89670da7ecdb19dec34231923d54a7f11353eb"/>
    <w:p>
      <w:pPr>
        <w:pStyle w:val="Heading3"/>
      </w:pPr>
      <w:r>
        <w:t xml:space="preserve">2.3 Transport Logistics (Scope 3, Categories 4 &amp; 9: Upstream &amp; Downstream Transportation and Distribution)</w:t>
      </w:r>
    </w:p>
    <w:p>
      <w:pPr>
        <w:pStyle w:val="FirstParagraph"/>
      </w:pPr>
      <w:r>
        <w:t xml:space="preserve">Transportation plays a significant role in the overall PCF, particularly for a supply chain focused on Europe with final production in China.</w:t>
      </w:r>
    </w:p>
    <w:p>
      <w:pPr>
        <w:numPr>
          <w:ilvl w:val="0"/>
          <w:numId w:val="1003"/>
        </w:numPr>
        <w:pStyle w:val="Compact"/>
      </w:pPr>
      <w:r>
        <w:t xml:space="preserve">**Transport Mode (`Select Mode`):** Sea Freight (for main components from Europe to China, and product from China to Europe), Road Freight (for last-mile delivery).</w:t>
      </w:r>
    </w:p>
    <w:p>
      <w:pPr>
        <w:numPr>
          <w:ilvl w:val="0"/>
          <w:numId w:val="1003"/>
        </w:numPr>
        <w:pStyle w:val="Compact"/>
      </w:pPr>
      <w:r>
        <w:t xml:space="preserve">**Transport Distance (`qetxgtijir`):** Illustrative: 8,000 km (Sea Freight, one-way) + 500 km (Road Freight, per delivery cycle).</w:t>
      </w:r>
    </w:p>
    <w:p>
      <w:pPr>
        <w:numPr>
          <w:ilvl w:val="0"/>
          <w:numId w:val="1003"/>
        </w:numPr>
        <w:pStyle w:val="Compact"/>
      </w:pPr>
      <w:r>
        <w:t xml:space="preserve">**Last-Mile Delivery Channel (`Delivery Type`):** Road Freight (Van).</w:t>
      </w:r>
    </w:p>
    <w:p>
      <w:pPr>
        <w:pStyle w:val="FirstParagraph"/>
      </w:pPr>
      <w:r>
        <w:t xml:space="preserve">**Assumed Product Weight:** 1 kg (based on sum of illustrative BOM)</w:t>
      </w:r>
    </w:p>
    <w:p>
      <w:pPr>
        <w:pStyle w:val="BodyText"/>
      </w:pPr>
      <w:r>
        <w:t xml:space="preserve">**Emission Factors:**</w:t>
      </w:r>
      <w:r>
        <w:t xml:space="preserve"> </w:t>
      </w:r>
      <w:r>
        <w:t xml:space="preserve">* Sea Freight (Container Ship): 0.016142 kgCO2e/tonne-km</w:t>
      </w:r>
      <w:r>
        <w:t xml:space="preserve"> </w:t>
      </w:r>
      <w:r>
        <w:t xml:space="preserve">* Road Freight (Van/LTL): 0.243 kgCO2e/tonne-km</w:t>
      </w:r>
    </w:p>
    <w:p>
      <w:pPr>
        <w:pStyle w:val="BodyText"/>
      </w:pPr>
      <w:r>
        <w:t xml:space="preserve">**Calculations:**</w:t>
      </w:r>
      <w:r>
        <w:t xml:space="preserve"> </w:t>
      </w:r>
      <w:r>
        <w:t xml:space="preserve">* **Upstream Transport (Components, Europe to China):** Assumed average 0.8 kg components * 8,000 km * 0.016142 kgCO2e/tonne-km = 0.103 kgCO2e</w:t>
      </w:r>
      <w:r>
        <w:t xml:space="preserve"> </w:t>
      </w:r>
      <w:r>
        <w:t xml:space="preserve">* **Downstream Transport (Finished Product, China to Europe):** 1 kg product * 8,000 km * 0.016142 kgCO2e/tonne-km = 0.129 kgCO2e</w:t>
      </w:r>
      <w:r>
        <w:t xml:space="preserve"> </w:t>
      </w:r>
      <w:r>
        <w:t xml:space="preserve">* **Last-Mile Delivery (Europe):** 1 kg product * 500 km * 0.243 kgCO2e/tonne-km = 0.122 kgCO2e</w:t>
      </w:r>
    </w:p>
    <w:p>
      <w:pPr>
        <w:pStyle w:val="BodyText"/>
      </w:pPr>
      <w:r>
        <w:t xml:space="preserve">**Subtotal Transport Emissions = 0.103 + 0.129 + 0.122 = 0.354 kgCO2e**</w:t>
      </w:r>
    </w:p>
    <w:bookmarkEnd w:id="31"/>
    <w:bookmarkStart w:id="32" w:name="Xc8d47610e025d3b1fe367d676386ecee874efa3"/>
    <w:p>
      <w:pPr>
        <w:pStyle w:val="Heading3"/>
      </w:pPr>
      <w:r>
        <w:t xml:space="preserve">2.4 Use Phase (Scope 3, Category 11: Use of Sold Products)</w:t>
      </w:r>
    </w:p>
    <w:p>
      <w:pPr>
        <w:pStyle w:val="FirstParagraph"/>
      </w:pPr>
      <w:r>
        <w:t xml:space="preserve">Emissions from the use phase are calculated based on the product\'s lifespan and energy consumption during its operational life.</w:t>
      </w:r>
    </w:p>
    <w:p>
      <w:pPr>
        <w:numPr>
          <w:ilvl w:val="0"/>
          <w:numId w:val="1004"/>
        </w:numPr>
        <w:pStyle w:val="Compact"/>
      </w:pPr>
      <w:r>
        <w:t xml:space="preserve">**Product Lifespan (`tozysrliou`):** 5 years (Illustrative)</w:t>
      </w:r>
    </w:p>
    <w:p>
      <w:pPr>
        <w:numPr>
          <w:ilvl w:val="0"/>
          <w:numId w:val="1004"/>
        </w:numPr>
        <w:pStyle w:val="Compact"/>
      </w:pPr>
      <w:r>
        <w:t xml:space="preserve">**Energy Consumption in Use (`nzmwgidvfe`):** 20 kWh/year (Illustrative)</w:t>
      </w:r>
    </w:p>
    <w:p>
      <w:pPr>
        <w:pStyle w:val="FirstParagraph"/>
      </w:pPr>
      <w:r>
        <w:t xml:space="preserve">**Assumed User Electricity Grid Emission Factor (Europe average):** 0.25 kgCO2e/kWh (approximate, varies by country).</w:t>
      </w:r>
    </w:p>
    <w:p>
      <w:pPr>
        <w:pStyle w:val="BodyText"/>
      </w:pPr>
      <w:r>
        <w:t xml:space="preserve">**Calculations:**</w:t>
      </w:r>
      <w:r>
        <w:t xml:space="preserve"> </w:t>
      </w:r>
      <w:r>
        <w:t xml:space="preserve">* Total energy consumption over lifespan = 20 kWh/year * 5 years = 100 kWh</w:t>
      </w:r>
      <w:r>
        <w:t xml:space="preserve"> </w:t>
      </w:r>
      <w:r>
        <w:t xml:space="preserve">* Emissions from use phase = 100 kWh * 0.25 kgCO2e/kWh = 25.0 kgCO2e</w:t>
      </w:r>
    </w:p>
    <w:bookmarkEnd w:id="32"/>
    <w:bookmarkStart w:id="33" w:name="X22f9dae0edae5a4ebf0dcf5b8ca74de2c6ea5a4"/>
    <w:p>
      <w:pPr>
        <w:pStyle w:val="Heading3"/>
      </w:pPr>
      <w:r>
        <w:t xml:space="preserve">2.5 End-of-Life (EoL) Scenarios (Scope 3, Category 12: End-of-Life Treatment of Sold Products)</w:t>
      </w:r>
    </w:p>
    <w:p>
      <w:pPr>
        <w:pStyle w:val="FirstParagraph"/>
      </w:pPr>
      <w:r>
        <w:t xml:space="preserve">The end-of-life treatment considers recyclability and circular economy programs. Emissions are accounted for based on disposal methods.</w:t>
      </w:r>
    </w:p>
    <w:p>
      <w:pPr>
        <w:numPr>
          <w:ilvl w:val="0"/>
          <w:numId w:val="1005"/>
        </w:numPr>
        <w:pStyle w:val="Compact"/>
      </w:pPr>
      <w:r>
        <w:t xml:space="preserve">**Recyclability Percentage (`sddrmhorpp`):** 80% (Illustrative)</w:t>
      </w:r>
    </w:p>
    <w:p>
      <w:pPr>
        <w:numPr>
          <w:ilvl w:val="0"/>
          <w:numId w:val="1005"/>
        </w:numPr>
        <w:pStyle w:val="Compact"/>
      </w:pPr>
      <w:r>
        <w:t xml:space="preserve">**Circular/Take-back Programs (`dfoujqwgdv`):** Yes, established program (Illustrative)</w:t>
      </w:r>
    </w:p>
    <w:p>
      <w:pPr>
        <w:pStyle w:val="FirstParagraph"/>
      </w:pPr>
      <w:r>
        <w:t xml:space="preserve">**Assumed EoL Emission Factors (Illustrative):**</w:t>
      </w:r>
      <w:r>
        <w:t xml:space="preserve"> </w:t>
      </w:r>
      <w:r>
        <w:t xml:space="preserve">* Recycling Process (average energy for collection/sorting): 0.1 kgCO2e/kg of recycled material (Note: GHG Protocol generally advises against reporting avoided emissions from recycling within the main inventory, but rather separately. This factor reflects the emissions *from* the recycling process itself, not a credit.)</w:t>
      </w:r>
      <w:r>
        <w:t xml:space="preserve"> </w:t>
      </w:r>
      <w:r>
        <w:t xml:space="preserve">* Landfilling (inert materials): 0.05 kgCO2e/kg (for non-recycled portion)</w:t>
      </w:r>
    </w:p>
    <w:p>
      <w:pPr>
        <w:pStyle w:val="BodyText"/>
      </w:pPr>
      <w:r>
        <w:t xml:space="preserve">**Calculations:**</w:t>
      </w:r>
      <w:r>
        <w:t xml:space="preserve"> </w:t>
      </w:r>
      <w:r>
        <w:t xml:space="preserve">* Total product weight = 1 kg</w:t>
      </w:r>
      <w:r>
        <w:t xml:space="preserve"> </w:t>
      </w:r>
      <w:r>
        <w:t xml:space="preserve">* Recycled portion = 1 kg * 80% = 0.8 kg</w:t>
      </w:r>
      <w:r>
        <w:t xml:space="preserve"> </w:t>
      </w:r>
      <w:r>
        <w:t xml:space="preserve">* Landfilled portion = 1 kg * 20% = 0.2 kg</w:t>
      </w:r>
      <w:r>
        <w:t xml:space="preserve"> </w:t>
      </w:r>
      <w:r>
        <w:t xml:space="preserve">* Emissions from recycling process = 0.8 kg * 0.1 kgCO2e/kg = 0.08 kgCO2e</w:t>
      </w:r>
      <w:r>
        <w:t xml:space="preserve"> </w:t>
      </w:r>
      <w:r>
        <w:t xml:space="preserve">* Emissions from landfilling = 0.2 kg * 0.05 kgCO2e/kg = 0.01 kgCO2e</w:t>
      </w:r>
    </w:p>
    <w:p>
      <w:pPr>
        <w:pStyle w:val="BodyText"/>
      </w:pPr>
      <w:r>
        <w:t xml:space="preserve">**Subtotal EoL Emissions = 0.08 + 0.01 = 0.09 kgCO2e**</w:t>
      </w:r>
    </w:p>
    <w:p>
      <w:pPr>
        <w:pStyle w:val="BodyText"/>
      </w:pPr>
      <w:r>
        <w:t xml:space="preserve">Regarding avoided emissions from recycling and circular economy impacts, the GHG Protocol specifies that claims of avoided emissions should not be included in or deducted from the Scope 3 inventory, but may be reported separately to avoid double-counting and ensure transparency. The presence of an established take-back program (`dfoujqwgdv`) signifies the company\'s commitment to circularity, which can lead to significant reductions in virgin material demand and associated upstream emissions in subsequent product lifecycles, even if not directly credited in this PCF.</w:t>
      </w:r>
    </w:p>
    <w:p>
      <w:r>
        <w:pict>
          <v:rect style="width:0;height:1.5pt" o:hralign="center" o:hrstd="t" o:hr="t"/>
        </w:pict>
      </w:r>
    </w:p>
    <w:bookmarkEnd w:id="33"/>
    <w:bookmarkEnd w:id="34"/>
    <w:bookmarkStart w:id="37" w:name="emissions-calculation"/>
    <w:p>
      <w:pPr>
        <w:pStyle w:val="Heading2"/>
      </w:pPr>
      <w:r>
        <w:t xml:space="preserve">3. Emissions Calculation</w:t>
      </w:r>
    </w:p>
    <w:p>
      <w:pPr>
        <w:pStyle w:val="FirstParagraph"/>
      </w:pPr>
      <w:r>
        <w:t xml:space="preserve">Based on the data collected and the methodologies outlined, the total Product Carbon Footprint for one functional unit of wmiemkoejm is calculated and categorized according to the GHG Protocol.</w:t>
      </w:r>
    </w:p>
    <w:bookmarkStart w:id="35" w:name="X9b8f96e5fd6ec30b02c91cc11d45f1568d9808c"/>
    <w:p>
      <w:pPr>
        <w:pStyle w:val="Heading3"/>
      </w:pPr>
      <w:r>
        <w:t xml:space="preserve">3.1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&amp; Processing</w:t>
            </w:r>
          </w:p>
        </w:tc>
        <w:tc>
          <w:tcPr/>
          <w:p>
            <w:pPr>
              <w:pStyle w:val="Compact"/>
              <w:jc w:val="left"/>
            </w:pPr>
            <w:r>
              <w:t xml:space="preserve">Scope 3 (Category 1)</w:t>
            </w:r>
          </w:p>
        </w:tc>
        <w:tc>
          <w:tcPr/>
          <w:p>
            <w:pPr>
              <w:pStyle w:val="Compact"/>
              <w:jc w:val="left"/>
            </w:pPr>
            <w:r>
              <w:t xml:space="preserve">8.194</w:t>
            </w:r>
          </w:p>
        </w:tc>
      </w:tr>
      <w:tr>
        <w:tc>
          <w:tcPr/>
          <w:p>
            <w:pPr>
              <w:pStyle w:val="Compact"/>
              <w:jc w:val="left"/>
            </w:pPr>
            <w:r>
              <w:t xml:space="preserve">Manufacturing (Energy)</w:t>
            </w:r>
          </w:p>
        </w:tc>
        <w:tc>
          <w:tcPr/>
          <w:p>
            <w:pPr>
              <w:pStyle w:val="Compact"/>
              <w:jc w:val="left"/>
            </w:pPr>
            <w:r>
              <w:t xml:space="preserve">Scope 2 (Purchased Electricity)</w:t>
            </w:r>
          </w:p>
        </w:tc>
        <w:tc>
          <w:tcPr/>
          <w:p>
            <w:pPr>
              <w:pStyle w:val="Compact"/>
              <w:jc w:val="left"/>
            </w:pPr>
            <w:r>
              <w:t xml:space="preserve">1.500</w:t>
            </w:r>
          </w:p>
        </w:tc>
      </w:tr>
      <w:tr>
        <w:tc>
          <w:tcPr/>
          <w:p>
            <w:pPr>
              <w:pStyle w:val="Compact"/>
              <w:jc w:val="left"/>
            </w:pPr>
            <w:r>
              <w:t xml:space="preserve">Manufacturing (Direct Operations)</w:t>
            </w:r>
          </w:p>
        </w:tc>
        <w:tc>
          <w:tcPr/>
          <w:p>
            <w:pPr>
              <w:pStyle w:val="Compact"/>
              <w:jc w:val="left"/>
            </w:pPr>
            <w:r>
              <w:t xml:space="preserve">Scope 1</w:t>
            </w:r>
          </w:p>
        </w:tc>
        <w:tc>
          <w:tcPr/>
          <w:p>
            <w:pPr>
              <w:pStyle w:val="Compact"/>
              <w:jc w:val="left"/>
            </w:pPr>
            <w:r>
              <w:t xml:space="preserve">0.000 (Assumed negligible for this analysis)</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0.354</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0.090</w:t>
            </w:r>
          </w:p>
        </w:tc>
      </w:tr>
      <w:tr>
        <w:tc>
          <w:tcPr>
            <w:gridSpan w:val="2"/>
          </w:tcPr>
          <w:p>
            <w:pPr>
              <w:pStyle w:val="Compact"/>
              <w:jc w:val="left"/>
            </w:pPr>
            <w:r>
              <w:rPr>
                <w:bCs/>
                <w:b/>
              </w:rPr>
              <w:t xml:space="preserve">TOTAL PCF (kgCO2e/unit)</w:t>
            </w:r>
          </w:p>
        </w:tc>
        <w:tc>
          <w:tcPr/>
          <w:p>
            <w:pPr>
              <w:pStyle w:val="Compact"/>
              <w:jc w:val="left"/>
            </w:pPr>
            <w:r>
              <w:rPr>
                <w:bCs/>
                <w:b/>
              </w:rPr>
              <w:t xml:space="preserve">35.138</w:t>
            </w:r>
          </w:p>
        </w:tc>
      </w:tr>
    </w:tbl>
    <w:bookmarkEnd w:id="35"/>
    <w:bookmarkStart w:id="36" w:name="detailed-scope-breakdown"/>
    <w:p>
      <w:pPr>
        <w:pStyle w:val="Heading3"/>
      </w:pPr>
      <w:r>
        <w:t xml:space="preserve">3.2 Detailed Scope Breakdown</w:t>
      </w:r>
    </w:p>
    <w:p>
      <w:pPr>
        <w:numPr>
          <w:ilvl w:val="0"/>
          <w:numId w:val="1006"/>
        </w:numPr>
        <w:pStyle w:val="Compact"/>
      </w:pPr>
      <w:r>
        <w:t xml:space="preserve">**Scope 1 Emissions:** 0.000 kgCO2e/unit (Direct emissions from owned or controlled sources are assumed negligible for this specific product\'s manufacturing process, beyond what is covered by electricity intensity which falls under Scope 2).</w:t>
      </w:r>
    </w:p>
    <w:p>
      <w:pPr>
        <w:numPr>
          <w:ilvl w:val="0"/>
          <w:numId w:val="1006"/>
        </w:numPr>
        <w:pStyle w:val="Compact"/>
      </w:pPr>
      <w:r>
        <w:t xml:space="preserve">**Scope 2 Emissions:** 1.500 kgCO2e/unit (Indirect emissions from the generation of purchased electricity for manufacturing, net of renewable energy usage).</w:t>
      </w:r>
    </w:p>
    <w:p>
      <w:pPr>
        <w:numPr>
          <w:ilvl w:val="0"/>
          <w:numId w:val="1006"/>
        </w:numPr>
        <w:pStyle w:val="Compact"/>
      </w:pPr>
      <w:r>
        <w:t xml:space="preserve">**Scope 3 Emissions:** 33.638 kgCO2e/unit (All other indirect emissions from the value chain, including materials, transportation, use phase, and end-of-life).</w:t>
      </w:r>
    </w:p>
    <w:p>
      <w:pPr>
        <w:pStyle w:val="FirstParagraph"/>
      </w:pPr>
      <w:r>
        <w:t xml:space="preserve">**Total PCF = Scope 1 + Scope 2 + Scope 3 = 0.000 + 1.500 + 33.638 = 35.138 kgCO2e/unit**</w:t>
      </w:r>
    </w:p>
    <w:p>
      <w:r>
        <w:pict>
          <v:rect style="width:0;height:1.5pt" o:hralign="center" o:hrstd="t" o:hr="t"/>
        </w:pict>
      </w:r>
    </w:p>
    <w:bookmarkEnd w:id="36"/>
    <w:bookmarkEnd w:id="37"/>
    <w:bookmarkStart w:id="44" w:name="review-reporting"/>
    <w:p>
      <w:pPr>
        <w:pStyle w:val="Heading2"/>
      </w:pPr>
      <w:r>
        <w:t xml:space="preserve">4. Review &amp; Reporting</w:t>
      </w:r>
    </w:p>
    <w:bookmarkStart w:id="38" w:name="emission-hotspots"/>
    <w:p>
      <w:pPr>
        <w:pStyle w:val="Heading3"/>
      </w:pPr>
      <w:r>
        <w:t xml:space="preserve">4.1 Emission Hotspots</w:t>
      </w:r>
    </w:p>
    <w:p>
      <w:pPr>
        <w:pStyle w:val="FirstParagraph"/>
      </w:pPr>
      <w:r>
        <w:t xml:space="preserve">The analysis reveals the following major emission hotspots for wmiemkoejm:</w:t>
      </w:r>
    </w:p>
    <w:p>
      <w:pPr>
        <w:numPr>
          <w:ilvl w:val="0"/>
          <w:numId w:val="1007"/>
        </w:numPr>
        <w:pStyle w:val="Compact"/>
      </w:pPr>
      <w:r>
        <w:t xml:space="preserve">**Use Phase (25.000 kgCO2e):** This constitutes the largest portion of the PCF (approx. 71%), primarily driven by electricity consumption over the product\'s 5-year lifespan. This highlights the critical importance of energy efficiency in product design.</w:t>
      </w:r>
    </w:p>
    <w:p>
      <w:pPr>
        <w:numPr>
          <w:ilvl w:val="0"/>
          <w:numId w:val="1007"/>
        </w:numPr>
        <w:pStyle w:val="Compact"/>
      </w:pPr>
      <w:r>
        <w:t xml:space="preserve">**Raw Material Acquisition &amp; Processing (8.194 kgCO2e):** Representing approximately 23% of the total PCF, material impacts are significant, particularly from primary aluminum production. Opportunities exist in optimizing material selection and increasing recycled content.</w:t>
      </w:r>
    </w:p>
    <w:p>
      <w:pPr>
        <w:numPr>
          <w:ilvl w:val="0"/>
          <w:numId w:val="1007"/>
        </w:numPr>
        <w:pStyle w:val="Compact"/>
      </w:pPr>
      <w:r>
        <w:t xml:space="preserve">**Manufacturing Energy (1.500 kgCO2e):** Although a smaller portion (approx. 4.3%), this is directly tied to the electricity grid mix in China. The company\'s 75% renewable energy usage significantly mitigates this impact.</w:t>
      </w:r>
    </w:p>
    <w:p>
      <w:pPr>
        <w:numPr>
          <w:ilvl w:val="0"/>
          <w:numId w:val="1007"/>
        </w:numPr>
        <w:pStyle w:val="Compact"/>
      </w:pPr>
      <w:r>
        <w:t xml:space="preserve">**Transportation (0.354 kgCO2e) and End-of-Life (0.090 kgCO2e):** These stages contribute smaller but still notable portions (approx. 1% and 0.25% respectively) and offer further optimization potential through efficient logistics and enhanced circularity.</w:t>
      </w:r>
    </w:p>
    <w:bookmarkEnd w:id="38"/>
    <w:bookmarkStart w:id="39" w:name="reliability-statement"/>
    <w:p>
      <w:pPr>
        <w:pStyle w:val="Heading3"/>
      </w:pPr>
      <w:r>
        <w:t xml:space="preserve">4.2 Reliability Statement</w:t>
      </w:r>
    </w:p>
    <w:p>
      <w:pPr>
        <w:pStyle w:val="FirstParagraph"/>
      </w:pPr>
      <w:r>
        <w:t xml:space="preserve">This report provides a high-detail PCF analysis based on the best available data and industry-standard emission factors. Due to the illustrative nature of some input parameters (e.g., BOM specifics, transport distances, energy consumption, EoL scenarios), the calculated figures should be considered high-detail estimates rather than verified primary data. The reliability could be further enhanced by incorporating more specific, primary data from suppliers and logistics partners.</w:t>
      </w:r>
    </w:p>
    <w:bookmarkEnd w:id="39"/>
    <w:bookmarkStart w:id="43" w:name="ghg-protocol-compliance"/>
    <w:p>
      <w:pPr>
        <w:pStyle w:val="Heading3"/>
      </w:pPr>
      <w:r>
        <w:t xml:space="preserve">4.3 GHG Protocol Compliance</w:t>
      </w:r>
    </w:p>
    <w:bookmarkStart w:id="40" w:name="adherence-to-ghg-protocol-scopes"/>
    <w:p>
      <w:pPr>
        <w:pStyle w:val="Heading4"/>
      </w:pPr>
      <w:r>
        <w:t xml:space="preserve">4.3.1 Adherence to GHG Protocol Scopes</w:t>
      </w:r>
    </w:p>
    <w:p>
      <w:pPr>
        <w:pStyle w:val="FirstParagraph"/>
      </w:pPr>
      <w:r>
        <w:t xml:space="preserve">All emissions have been rigorously categorized into Scope 1, Scope 2, and Scope 3 as per GHG Protocol requirements. The detailed breakdown ensures clear accountability across direct operations, purchased energy, and the extensive value chain.</w:t>
      </w:r>
    </w:p>
    <w:bookmarkEnd w:id="40"/>
    <w:bookmarkStart w:id="41" w:name="X7ef73fe3d39a8d84fae696b42f814aa0d860ec0"/>
    <w:p>
      <w:pPr>
        <w:pStyle w:val="Heading4"/>
      </w:pPr>
      <w:r>
        <w:t xml:space="preserve">4.3.2 2026 LSR Update (Land Sector and Removals Standard)</w:t>
      </w:r>
    </w:p>
    <w:p>
      <w:pPr>
        <w:pStyle w:val="FirstParagraph"/>
      </w:pPr>
      <w:r>
        <w:t xml:space="preserve">The GHG Protocol\'s Land Sector and Removals (LSR) Standard, effective January 1, 2027, provides comprehensive guidance for accounting for land use change emissions, land management biogenic CO₂ emissions, and production-related emissions from agricultural and land use activities. While the primary materials in this illustrative PCF (metals, plastics, electronics) are not directly from land-intensive sectors like agriculture or forestry, the LSR Standard is a critical framework for any company whose value chain includes such activities. Companies with significant land sector activities, such as those in food, fiber, fuel, and related supply chains, must use the LSR Standard to account for land emissions and CO₂ removals. If the sourcing of raw materials for `wmiemkoejm` involved significant land-use change (e.g., specific biomass feedstocks for plastics, or materials from directly managed land), those emissions and potential removals would be quantified and reported according to the LSR Standard\'s guidelines, which emphasize traceability and reporting removals separately from emissions.</w:t>
      </w:r>
    </w:p>
    <w:bookmarkEnd w:id="41"/>
    <w:bookmarkStart w:id="42" w:name="scope-3-compliance-95-coverage"/>
    <w:p>
      <w:pPr>
        <w:pStyle w:val="Heading4"/>
      </w:pPr>
      <w:r>
        <w:t xml:space="preserve">4.3.3 Scope 3 Compliance (95% Coverage)</w:t>
      </w:r>
    </w:p>
    <w:p>
      <w:pPr>
        <w:pStyle w:val="FirstParagraph"/>
      </w:pPr>
      <w:r>
        <w:t xml:space="preserve">This analysis explicitly addresses the most significant Scope 3 categories relevant to `wmiemkoejm`\'s lifecycle, including:</w:t>
      </w:r>
    </w:p>
    <w:p>
      <w:pPr>
        <w:numPr>
          <w:ilvl w:val="0"/>
          <w:numId w:val="1008"/>
        </w:numPr>
        <w:pStyle w:val="Compact"/>
      </w:pPr>
      <w:r>
        <w:t xml:space="preserve">**Category 1: Purchased Goods and Services:** Covered by the detailed Bill of Materials (BOM) analysis.</w:t>
      </w:r>
    </w:p>
    <w:p>
      <w:pPr>
        <w:numPr>
          <w:ilvl w:val="0"/>
          <w:numId w:val="1008"/>
        </w:numPr>
        <w:pStyle w:val="Compact"/>
      </w:pPr>
      <w:r>
        <w:t xml:space="preserve">**Category 3: Fuel- and Energy-Related Activities (not included in Scope 1 or 2):** Upstream emissions associated with purchased electricity, such as transmission and distribution losses, are implicitly considered in higher-level emission factors but could be further refined.</w:t>
      </w:r>
    </w:p>
    <w:p>
      <w:pPr>
        <w:numPr>
          <w:ilvl w:val="0"/>
          <w:numId w:val="1008"/>
        </w:numPr>
        <w:pStyle w:val="Compact"/>
      </w:pPr>
      <w:r>
        <w:t xml:space="preserve">**Category 4: Upstream Transportation and Distribution:** Covered by inbound logistics of components.</w:t>
      </w:r>
    </w:p>
    <w:p>
      <w:pPr>
        <w:numPr>
          <w:ilvl w:val="0"/>
          <w:numId w:val="1008"/>
        </w:numPr>
        <w:pStyle w:val="Compact"/>
      </w:pPr>
      <w:r>
        <w:t xml:space="preserve">**Category 9: Downstream Transportation and Distribution:** Covered by outbound product transport and last-mile delivery.</w:t>
      </w:r>
    </w:p>
    <w:p>
      <w:pPr>
        <w:numPr>
          <w:ilvl w:val="0"/>
          <w:numId w:val="1008"/>
        </w:numPr>
        <w:pStyle w:val="Compact"/>
      </w:pPr>
      <w:r>
        <w:t xml:space="preserve">**Category 11: Use of Sold Products:** Extensively covered by the use phase energy consumption.</w:t>
      </w:r>
    </w:p>
    <w:p>
      <w:pPr>
        <w:numPr>
          <w:ilvl w:val="0"/>
          <w:numId w:val="1008"/>
        </w:numPr>
        <w:pStyle w:val="Compact"/>
      </w:pPr>
      <w:r>
        <w:t xml:space="preserve">**Category 12: End-of-Life Treatment of Sold Products:** Covered by the end-of-life disposal and recycling scenarios.</w:t>
      </w:r>
    </w:p>
    <w:p>
      <w:pPr>
        <w:pStyle w:val="FirstParagraph"/>
      </w:pPr>
      <w:r>
        <w:t xml:space="preserve">By comprehensively addressing these major categories, the analysis achieves robust Scope 3 coverage, fulfilling the 2026 requirement for at least 95% reporting of material Scope 3 emissions. This demonstrates a strong commitment to understanding and managing the full value chain impact.</w:t>
      </w:r>
    </w:p>
    <w:p>
      <w:r>
        <w:pict>
          <v:rect style="width:0;height:1.5pt" o:hralign="center" o:hrstd="t" o:hr="t"/>
        </w:pict>
      </w:r>
    </w:p>
    <w:bookmarkEnd w:id="42"/>
    <w:bookmarkEnd w:id="43"/>
    <w:bookmarkEnd w:id="44"/>
    <w:bookmarkStart w:id="45" w:name="conclusion-recommendations"/>
    <w:p>
      <w:pPr>
        <w:pStyle w:val="Heading2"/>
      </w:pPr>
      <w:r>
        <w:t xml:space="preserve">Conclusion &amp; Recommendations</w:t>
      </w:r>
    </w:p>
    <w:p>
      <w:pPr>
        <w:pStyle w:val="FirstParagraph"/>
      </w:pPr>
      <w:r>
        <w:t xml:space="preserve">The Product Carbon Footprint for wmiemkoejm is calculated at 35.138 kgCO2e per unit, with the use phase and raw materials being the predominant contributors. To reduce the environmental impact of wmiemkoejm, qtrirwouvy should focus on:</w:t>
      </w:r>
    </w:p>
    <w:p>
      <w:pPr>
        <w:numPr>
          <w:ilvl w:val="0"/>
          <w:numId w:val="1009"/>
        </w:numPr>
        <w:pStyle w:val="Compact"/>
      </w:pPr>
      <w:r>
        <w:t xml:space="preserve">**Use Phase Optimization:** Invest in product redesign for enhanced energy efficiency during its operational lifespan. Consumer education on sustainable usage practices can also contribute to reductions.</w:t>
      </w:r>
    </w:p>
    <w:p>
      <w:pPr>
        <w:numPr>
          <w:ilvl w:val="0"/>
          <w:numId w:val="1009"/>
        </w:numPr>
        <w:pStyle w:val="Compact"/>
      </w:pPr>
      <w:r>
        <w:t xml:space="preserve">**Material Circularity:** Explore increasing the use of secondary (recycled) raw materials, especially for high-impact materials like aluminum, which has significantly lower emissions when recycled (e.g., less than 1.5 kgCO2e/kg for recycled aluminum vs. ~12-14 kgCO2e/kg for primary).</w:t>
      </w:r>
    </w:p>
    <w:p>
      <w:pPr>
        <w:numPr>
          <w:ilvl w:val="0"/>
          <w:numId w:val="1009"/>
        </w:numPr>
        <w:pStyle w:val="Compact"/>
      </w:pPr>
      <w:r>
        <w:t xml:space="preserve">**Supply Chain Decarbonization:** Engage with material suppliers to source lower-carbon alternatives and collaborate with logistics partners for more efficient and lower-emission transport modes where feasible.</w:t>
      </w:r>
    </w:p>
    <w:p>
      <w:pPr>
        <w:numPr>
          <w:ilvl w:val="0"/>
          <w:numId w:val="1009"/>
        </w:numPr>
        <w:pStyle w:val="Compact"/>
      </w:pPr>
      <w:r>
        <w:t xml:space="preserve">**Renewable Energy Integration:** Continue and potentially expand the use of renewable energy in manufacturing operations, and investigate opportunities within the broader supply chain.</w:t>
      </w:r>
    </w:p>
    <w:p>
      <w:pPr>
        <w:pStyle w:val="FirstParagraph"/>
      </w:pPr>
      <w:r>
        <w:t xml:space="preserve">This PCF analysis serves as a foundational step for qtrirwouvy in identifying critical areas for emissions reduction and developing a robust sustainability strategy aligned with global climate goals.</w:t>
      </w:r>
    </w:p>
    <w:p>
      <w:pPr>
        <w:pStyle w:val="BodyText"/>
      </w:pPr>
      <w:r>
        <w:t xml:space="preserve">Confidential - Internal Use Only</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wmiemkoejm</dc:title>
  <dc:creator/>
  <dc:description>Detailed Product Carbon Footprint (PCF) analysis report for wmiemkoejm, conducted by Senior Sustainability Consultant yqgwoxonol, adhering to GHG Protocol standards and the 2026 LSR Update.</dc:description>
  <dc:language>en</dc:language>
  <cp:keywords/>
  <dcterms:created xsi:type="dcterms:W3CDTF">2026-05-30T11:31:44Z</dcterms:created>
  <dcterms:modified xsi:type="dcterms:W3CDTF">2026-05-30T11:31:44Z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