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wkvdyeqqjn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wkvdyeqqjn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qsifmevvwz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qljpomdefk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Actual values may vary depending on real-world conditions and specific supplier data.</w:t>
      </w:r>
    </w:p>
    <w:bookmarkEnd w:id="20"/>
    <w:bookmarkStart w:id="21" w:name="Xa87d010c1fd868336511b306fbd202996615f12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t xml:space="preserve">For Product: wkvdyeqqjn</w:t>
      </w:r>
    </w:p>
    <w:p>
      <w:pPr>
        <w:pStyle w:val="BodyText"/>
      </w:pPr>
      <w:r>
        <w:t xml:space="preserve">Generated Date: May 20, 2026</w:t>
      </w:r>
    </w:p>
    <w:bookmarkEnd w:id="21"/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\'wkvdyeqqjn\', manufactured by qsifmevvwz.</w:t>
      </w:r>
      <w:r>
        <w:t xml:space="preserve"> </w:t>
      </w:r>
      <w:r>
        <w:t xml:space="preserve">The analysis adheres to the Greenhouse Gas (GHG) Protocol standards,</w:t>
      </w:r>
      <w:r>
        <w:t xml:space="preserve"> </w:t>
      </w:r>
      <w:r>
        <w:t xml:space="preserve">incorporating the 2026 Land Sector and Removals (LSR) update and aiming for at least 95% Scope 3 coverage.</w:t>
      </w:r>
      <w:r>
        <w:t xml:space="preserve"> </w:t>
      </w:r>
      <w:r>
        <w:t xml:space="preserve">The PCF quantifies the total greenhouse gas emissions associated with the product\'s</w:t>
      </w:r>
      <w:r>
        <w:t xml:space="preserve"> </w:t>
      </w:r>
      <w:r>
        <w:t xml:space="preserve">lifecycle, from raw material acquisition to end-of-life treatment, providing</w:t>
      </w:r>
      <w:r>
        <w:t xml:space="preserve"> </w:t>
      </w:r>
      <w:r>
        <w:t xml:space="preserve">a comprehensive understanding of its environmental impact. Key emissions</w:t>
      </w:r>
      <w:r>
        <w:t xml:space="preserve"> </w:t>
      </w:r>
      <w:r>
        <w:t xml:space="preserve">hotspots are identified, and the report highlights areas for potential carbon reduction.</w:t>
      </w:r>
    </w:p>
    <w:p>
      <w:r>
        <w:pict>
          <v:rect style="width:0;height:1.5pt" o:hralign="center" o:hrstd="t" o:hr="t"/>
        </w:pict>
      </w:r>
    </w:p>
    <w:bookmarkEnd w:id="22"/>
    <w:bookmarkStart w:id="24" w:name="methodology-followed"/>
    <w:p>
      <w:pPr>
        <w:pStyle w:val="Heading2"/>
      </w:pPr>
      <w:r>
        <w:t xml:space="preserve">1. Methodology Followed</w:t>
      </w:r>
    </w:p>
    <w:p>
      <w:pPr>
        <w:pStyle w:val="FirstParagraph"/>
      </w:pPr>
      <w:r>
        <w:t xml:space="preserve">The Product Carbon Footprint (PCF) analysis for \'wkvdyeqqjn\' was conducted</w:t>
      </w:r>
      <w:r>
        <w:t xml:space="preserve"> </w:t>
      </w:r>
      <w:r>
        <w:t xml:space="preserve">following a five-step methodology in strict accordance with the GHG Protocol</w:t>
      </w:r>
      <w:r>
        <w:t xml:space="preserve"> </w:t>
      </w:r>
      <w:r>
        <w:t xml:space="preserve">standards. This approach ensures a systematic, transparent, and comprehensive</w:t>
      </w:r>
      <w:r>
        <w:t xml:space="preserve"> </w:t>
      </w:r>
      <w:r>
        <w:t xml:space="preserve">assessment of greenhouse gas emissions across the product\'s lifecycle.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Define Scope:</w:t>
      </w:r>
      <w:r>
        <w:t xml:space="preserve"> </w:t>
      </w:r>
      <w:r>
        <w:t xml:space="preserve">Establish the functional unit, system boundaries,</w:t>
      </w:r>
      <w:r>
        <w:t xml:space="preserve"> </w:t>
      </w:r>
      <w:r>
        <w:t xml:space="preserve">geographic scope, and allocation rules.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Map Lifecycle (LCI inventory stages):</w:t>
      </w:r>
      <w:r>
        <w:t xml:space="preserve"> </w:t>
      </w:r>
      <w:r>
        <w:t xml:space="preserve">Detail all relevant</w:t>
      </w:r>
      <w:r>
        <w:t xml:space="preserve"> </w:t>
      </w:r>
      <w:r>
        <w:t xml:space="preserve">processes and stages throughout the product\'s life.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Collect Data:</w:t>
      </w:r>
      <w:r>
        <w:t xml:space="preserve"> </w:t>
      </w:r>
      <w:r>
        <w:t xml:space="preserve">Gather primary and secondary data points for</w:t>
      </w:r>
      <w:r>
        <w:t xml:space="preserve"> </w:t>
      </w:r>
      <w:r>
        <w:t xml:space="preserve">all identified inputs and outputs.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Calculate Emissions:</w:t>
      </w:r>
      <w:r>
        <w:t xml:space="preserve"> </w:t>
      </w:r>
      <w:r>
        <w:t xml:space="preserve">Determine CO2e emissions by multiplying</w:t>
      </w:r>
      <w:r>
        <w:t xml:space="preserve"> </w:t>
      </w:r>
      <w:r>
        <w:t xml:space="preserve">activity data by relevant emission factors.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Review &amp; Report:</w:t>
      </w:r>
      <w:r>
        <w:t xml:space="preserve"> </w:t>
      </w:r>
      <w:r>
        <w:t xml:space="preserve">Identify emissions hotspots, assess data</w:t>
      </w:r>
      <w:r>
        <w:t xml:space="preserve"> </w:t>
      </w:r>
      <w:r>
        <w:t xml:space="preserve">reliability, and present findings.</w:t>
      </w:r>
    </w:p>
    <w:bookmarkStart w:id="23" w:name="ghg-protocol-adherence"/>
    <w:p>
      <w:pPr>
        <w:pStyle w:val="Heading3"/>
      </w:pPr>
      <w:r>
        <w:t xml:space="preserve">GHG Protocol Adherence:</w:t>
      </w:r>
    </w:p>
    <w:p>
      <w:pPr>
        <w:numPr>
          <w:ilvl w:val="0"/>
          <w:numId w:val="1002"/>
        </w:numPr>
        <w:pStyle w:val="Compact"/>
      </w:pPr>
      <w:r>
        <w:t xml:space="preserve">Emissions are categorized into Scope 1 (direct emissions from owned or controlled sources),</w:t>
      </w:r>
      <w:r>
        <w:t xml:space="preserve"> </w:t>
      </w:r>
      <w:r>
        <w:t xml:space="preserve">Scope 2 (indirect emissions from purchased electricity, heat, or steam),</w:t>
      </w:r>
      <w:r>
        <w:t xml:space="preserve"> </w:t>
      </w:r>
      <w:r>
        <w:t xml:space="preserve">and Scope 3 (all other indirect emissions in the value chain).</w:t>
      </w:r>
    </w:p>
    <w:p>
      <w:pPr>
        <w:numPr>
          <w:ilvl w:val="0"/>
          <w:numId w:val="1002"/>
        </w:numPr>
        <w:pStyle w:val="Compact"/>
      </w:pPr>
      <w:r>
        <w:t xml:space="preserve">The</w:t>
      </w:r>
      <w:r>
        <w:t xml:space="preserve"> </w:t>
      </w:r>
      <w:r>
        <w:rPr>
          <w:bCs/>
          <w:b/>
        </w:rPr>
        <w:t xml:space="preserve">2026 Land Sector and Removals (LSR) Standard</w:t>
      </w:r>
      <w:r>
        <w:t xml:space="preserve"> </w:t>
      </w:r>
      <w:r>
        <w:t xml:space="preserve">is applied for</w:t>
      </w:r>
      <w:r>
        <w:t xml:space="preserve"> </w:t>
      </w:r>
      <w:r>
        <w:t xml:space="preserve">land use and carbon removals, acknowledging its importance in comprehensive GHG accounting.</w:t>
      </w:r>
    </w:p>
    <w:p>
      <w:pPr>
        <w:numPr>
          <w:ilvl w:val="0"/>
          <w:numId w:val="1002"/>
        </w:numPr>
        <w:pStyle w:val="Compact"/>
      </w:pPr>
      <w:r>
        <w:t xml:space="preserve">A significant effort has been made to ensure at least</w:t>
      </w:r>
      <w:r>
        <w:t xml:space="preserve"> </w:t>
      </w:r>
      <w:r>
        <w:rPr>
          <w:bCs/>
          <w:b/>
        </w:rPr>
        <w:t xml:space="preserve">95% coverage for Scope 3</w:t>
      </w:r>
      <w:r>
        <w:t xml:space="preserve"> </w:t>
      </w:r>
      <w:r>
        <w:t xml:space="preserve">reporting, aligning with the stringent 2026 requirements, to capture the full value chain impact.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31" w:name="X4920e4b47f9bb8ad1f47ab5dd50fc11f1d69ebf"/>
    <w:p>
      <w:pPr>
        <w:pStyle w:val="Heading2"/>
      </w:pPr>
      <w:r>
        <w:t xml:space="preserve">2. &amp; 3. Scope Definition, Lifecycle Mapping &amp; Data Collection</w:t>
      </w:r>
    </w:p>
    <w:bookmarkStart w:id="25" w:name="product-definition-wkvdyeqqjn"/>
    <w:p>
      <w:pPr>
        <w:pStyle w:val="Heading3"/>
      </w:pPr>
      <w:r>
        <w:t xml:space="preserve">Product Definition: wkvdyeqqjn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wkvdyeqqjn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factory_gate (cradle-to-gate-plus-use-and-end-of-life)</w:t>
      </w:r>
      <w:r>
        <w:t xml:space="preserve"> </w:t>
      </w:r>
      <w:r>
        <w:t xml:space="preserve">The analysis extends beyond the factory gate to include downstream transportation,</w:t>
      </w:r>
      <w:r>
        <w:t xml:space="preserve"> </w:t>
      </w:r>
      <w:r>
        <w:t xml:space="preserve">use phase, and end-of-life treatment to provide a holistic view.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Supply Chain Focus: Europe Focused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bookmarkEnd w:id="25"/>
    <w:bookmarkStart w:id="26" w:name="Xef49871cd233d450a333e489c17bd5c46e5af46"/>
    <w:p>
      <w:pPr>
        <w:pStyle w:val="Heading3"/>
      </w:pPr>
      <w:r>
        <w:t xml:space="preserve">Detailed Bill of Materials (BOM) - Data Collection (trsrfjjg)</w:t>
      </w:r>
    </w:p>
    <w:p>
      <w:pPr>
        <w:pStyle w:val="FirstParagraph"/>
      </w:pPr>
      <w:r>
        <w:t xml:space="preserve">The following Bill of Materials (BOM) provides a high-accuracy basis for material</w:t>
      </w:r>
      <w:r>
        <w:t xml:space="preserve"> </w:t>
      </w:r>
      <w:r>
        <w:t xml:space="preserve">impact calculations. Emission factors are provided as part of the BOM for direct use,</w:t>
      </w:r>
      <w:r>
        <w:t xml:space="preserve"> </w:t>
      </w:r>
      <w:r>
        <w:t xml:space="preserve">representing typical industry averages (e.g., from Ecoinvent/DEFRA equivalents) for the given process and material category.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Enclosure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Cardboard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</w:tr>
    </w:tbl>
    <w:bookmarkEnd w:id="26"/>
    <w:bookmarkStart w:id="27" w:name="X9e1e9ab609589176d6b0164e3cf46dfcff8c082"/>
    <w:p>
      <w:pPr>
        <w:pStyle w:val="Heading3"/>
      </w:pPr>
      <w:r>
        <w:t xml:space="preserve">Production Energy Inputs - Data Collection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rsutuwxrgr (70%)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opuuhpmhme (5 kWh/unit)</w:t>
      </w:r>
    </w:p>
    <w:bookmarkEnd w:id="27"/>
    <w:bookmarkStart w:id="28" w:name="logistics-data---data-collection"/>
    <w:p>
      <w:pPr>
        <w:pStyle w:val="Heading3"/>
      </w:pPr>
      <w:r>
        <w:t xml:space="preserve">Logistics Data - Data Collection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Transport Mode (Inbound/Main):</w:t>
      </w:r>
      <w:r>
        <w:t xml:space="preserve"> </w:t>
      </w:r>
      <w:r>
        <w:t xml:space="preserve">Select Mode (Road Freight (HGV 20-28 tonnes))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Transport Distance (Inbound/Main):</w:t>
      </w:r>
      <w:r>
        <w:t xml:space="preserve"> </w:t>
      </w:r>
      <w:r>
        <w:t xml:space="preserve">elhpivwqwf (1500 km)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Delivery Type (Small Van Delivery)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Estimated Last-Mile Delivery Distance:</w:t>
      </w:r>
      <w:r>
        <w:t xml:space="preserve"> </w:t>
      </w:r>
      <w:r>
        <w:t xml:space="preserve">50 km (assumption for demonstration)</w:t>
      </w:r>
    </w:p>
    <w:bookmarkEnd w:id="28"/>
    <w:bookmarkStart w:id="29" w:name="use-phase-data---data-collection"/>
    <w:p>
      <w:pPr>
        <w:pStyle w:val="Heading3"/>
      </w:pPr>
      <w:r>
        <w:t xml:space="preserve">Use Phase Data - Data Collection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nqonfjnmqn (5 years)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rfezovqwke (10 kWh/year)</w:t>
      </w:r>
    </w:p>
    <w:bookmarkEnd w:id="29"/>
    <w:bookmarkStart w:id="30" w:name="end-of-life-eol-data---data-collection"/>
    <w:p>
      <w:pPr>
        <w:pStyle w:val="Heading3"/>
      </w:pPr>
      <w:r>
        <w:t xml:space="preserve">End-of-Life (EoL) Data - Data Collection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qjfdmvpkqe (80%)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njijouixue (Product take-back program available in select European countries.)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41" w:name="emission-calculations-co2e"/>
    <w:p>
      <w:pPr>
        <w:pStyle w:val="Heading2"/>
      </w:pPr>
      <w:r>
        <w:t xml:space="preserve">4. Emission Calculations (CO2e)</w:t>
      </w:r>
    </w:p>
    <w:p>
      <w:pPr>
        <w:pStyle w:val="FirstParagraph"/>
      </w:pPr>
      <w:r>
        <w:t xml:space="preserve">Emissions are calculated based on activity data multiplied by relevant emission factors</w:t>
      </w:r>
      <w:r>
        <w:t xml:space="preserve"> </w:t>
      </w:r>
      <w:r>
        <w:t xml:space="preserve">(Activity * Emission Factor = CO2e). Industry-standard emission factors, drawing</w:t>
      </w:r>
      <w:r>
        <w:t xml:space="preserve"> </w:t>
      </w:r>
      <w:r>
        <w:t xml:space="preserve">from databases such as Ecoinvent and DEFRA, have been applied.</w:t>
      </w:r>
      <w:r>
        <w:t xml:space="preserve"> </w:t>
      </w:r>
      <w:r>
        <w:t xml:space="preserve">All calculations below are for one functional unit of \'wkvdyeqqjn\'.</w:t>
      </w:r>
    </w:p>
    <w:bookmarkStart w:id="34" w:name="scope-3-emissions-upstream-activities"/>
    <w:p>
      <w:pPr>
        <w:pStyle w:val="Heading3"/>
      </w:pPr>
      <w:r>
        <w:t xml:space="preserve">4.1. Scope 3 Emissions: Upstream Activities</w:t>
      </w:r>
    </w:p>
    <w:bookmarkStart w:id="32" w:name="Xab9729a0caae076ca89f2f71668734f92723cf2"/>
    <w:p>
      <w:pPr>
        <w:pStyle w:val="Heading4"/>
      </w:pPr>
      <w:r>
        <w:t xml:space="preserve">4.1.1. Category 1: Purchased Goods and Services (Materials)</w:t>
      </w:r>
    </w:p>
    <w:p>
      <w:pPr>
        <w:pStyle w:val="FirstParagraph"/>
      </w:pPr>
      <w:r>
        <w:t xml:space="preserve">These emissions are derived directly from the \'Total Carbon\' values provided in the Detailed Bill of Materials.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Plastic Enclosure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Packaging Cardboard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Subtotal Materials (Scope 3, Cat 1)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6.04 kg CO2e</w:t>
            </w:r>
          </w:p>
        </w:tc>
      </w:tr>
    </w:tbl>
    <w:bookmarkEnd w:id="32"/>
    <w:bookmarkStart w:id="33" w:name="X6669a43143349c25ec93e775eebde43de53a73c"/>
    <w:p>
      <w:pPr>
        <w:pStyle w:val="Heading4"/>
      </w:pPr>
      <w:r>
        <w:t xml:space="preserve">4.1.2. Category 4: Upstream Transportation and Distribution</w:t>
      </w:r>
    </w:p>
    <w:p>
      <w:pPr>
        <w:pStyle w:val="FirstParagraph"/>
      </w:pPr>
      <w:r>
        <w:t xml:space="preserve">Calculation for inbound transport of raw materials to the manufacturing facility.</w:t>
      </w:r>
      <w:r>
        <w:t xml:space="preserve"> </w:t>
      </w:r>
      <w:r>
        <w:t xml:space="preserve">The total weight of materials is used for the transport calculation.</w:t>
      </w:r>
    </w:p>
    <w:p>
      <w:pPr>
        <w:numPr>
          <w:ilvl w:val="0"/>
          <w:numId w:val="1008"/>
        </w:numPr>
        <w:pStyle w:val="Compact"/>
      </w:pPr>
      <w:r>
        <w:t xml:space="preserve">Total Material Weight (from BOM): 0.5 + 0.3 + 0.02 + 0.1 = 0.92 kg</w:t>
      </w:r>
    </w:p>
    <w:p>
      <w:pPr>
        <w:numPr>
          <w:ilvl w:val="0"/>
          <w:numId w:val="1008"/>
        </w:numPr>
        <w:pStyle w:val="Compact"/>
      </w:pPr>
      <w:r>
        <w:t xml:space="preserve">Transport Mode: Road Freight (HGV 20-28 tonnes)</w:t>
      </w:r>
    </w:p>
    <w:p>
      <w:pPr>
        <w:numPr>
          <w:ilvl w:val="0"/>
          <w:numId w:val="1008"/>
        </w:numPr>
        <w:pStyle w:val="Compact"/>
      </w:pPr>
      <w:r>
        <w:t xml:space="preserve">Transport Distance: 1500 km</w:t>
      </w:r>
    </w:p>
    <w:p>
      <w:pPr>
        <w:numPr>
          <w:ilvl w:val="0"/>
          <w:numId w:val="1008"/>
        </w:numPr>
        <w:pStyle w:val="Compact"/>
      </w:pPr>
      <w:r>
        <w:t xml:space="preserve">Emission Factor (Road Freight HGV): 0.095 kg CO2e/tonne-km</w:t>
      </w:r>
    </w:p>
    <w:p>
      <w:pPr>
        <w:pStyle w:val="FirstParagraph"/>
      </w:pPr>
      <w:r>
        <w:t xml:space="preserve">Calculation: (0.92 kg / 1000 kg/tonne) * 1500 km * 0.095 kg CO2e/tonne-km =</w:t>
      </w:r>
      <w:r>
        <w:t xml:space="preserve"> </w:t>
      </w:r>
      <w:r>
        <w:rPr>
          <w:bCs/>
          <w:b/>
        </w:rPr>
        <w:t xml:space="preserve">0.13 kg CO2e</w:t>
      </w:r>
    </w:p>
    <w:bookmarkEnd w:id="33"/>
    <w:bookmarkEnd w:id="34"/>
    <w:bookmarkStart w:id="35" w:name="X4f4f1cc346b7fbc88e391d2f9577872ef492d21"/>
    <w:p>
      <w:pPr>
        <w:pStyle w:val="Heading3"/>
      </w:pPr>
      <w:r>
        <w:t xml:space="preserve">4.2. Scope 2 Emissions: Purchased Electricity (Manufacturing)</w:t>
      </w:r>
    </w:p>
    <w:p>
      <w:pPr>
        <w:pStyle w:val="FirstParagraph"/>
      </w:pPr>
      <w:r>
        <w:t xml:space="preserve">Emissions from electricity consumed during the manufacturing process, considering renewable energy usage.</w:t>
      </w:r>
    </w:p>
    <w:p>
      <w:pPr>
        <w:numPr>
          <w:ilvl w:val="0"/>
          <w:numId w:val="1009"/>
        </w:numPr>
        <w:pStyle w:val="Compact"/>
      </w:pPr>
      <w:r>
        <w:t xml:space="preserve">Energy Intensity: 5 kWh/unit</w:t>
      </w:r>
    </w:p>
    <w:p>
      <w:pPr>
        <w:numPr>
          <w:ilvl w:val="0"/>
          <w:numId w:val="1009"/>
        </w:numPr>
        <w:pStyle w:val="Compact"/>
      </w:pPr>
      <w:r>
        <w:t xml:space="preserve">Renewable Energy Usage: 70%</w:t>
      </w:r>
    </w:p>
    <w:p>
      <w:pPr>
        <w:numPr>
          <w:ilvl w:val="0"/>
          <w:numId w:val="1009"/>
        </w:numPr>
        <w:pStyle w:val="Compact"/>
      </w:pPr>
      <w:r>
        <w:t xml:space="preserve">Non-Renewable Energy Share: 100% - 70% = 30%</w:t>
      </w:r>
    </w:p>
    <w:p>
      <w:pPr>
        <w:numPr>
          <w:ilvl w:val="0"/>
          <w:numId w:val="1009"/>
        </w:numPr>
        <w:pStyle w:val="Compact"/>
      </w:pPr>
      <w:r>
        <w:t xml:space="preserve">Electricity Emission Factor (China Grid Mix, 2026 estimate): 0.53 kg CO2e/kWh</w:t>
      </w:r>
    </w:p>
    <w:p>
      <w:pPr>
        <w:pStyle w:val="FirstParagraph"/>
      </w:pPr>
      <w:r>
        <w:t xml:space="preserve">Calculation: 5 kWh/unit * 0.30 (non-renewable share) * 0.53 kg CO2e/kWh =</w:t>
      </w:r>
      <w:r>
        <w:t xml:space="preserve"> </w:t>
      </w:r>
      <w:r>
        <w:rPr>
          <w:bCs/>
          <w:b/>
        </w:rPr>
        <w:t xml:space="preserve">0.795 kg CO2e</w:t>
      </w:r>
    </w:p>
    <w:bookmarkEnd w:id="35"/>
    <w:bookmarkStart w:id="39" w:name="scope-3-emissions-downstream-activities"/>
    <w:p>
      <w:pPr>
        <w:pStyle w:val="Heading3"/>
      </w:pPr>
      <w:r>
        <w:t xml:space="preserve">4.3. Scope 3 Emissions: Downstream Activities</w:t>
      </w:r>
    </w:p>
    <w:bookmarkStart w:id="36" w:name="Xe6a609cc71639c4bb5b5bcd247c776c9d89fa33"/>
    <w:p>
      <w:pPr>
        <w:pStyle w:val="Heading4"/>
      </w:pPr>
      <w:r>
        <w:t xml:space="preserve">4.3.1. Category 9: Downstream Transportation and Distribution (Last-Mile Delivery)</w:t>
      </w:r>
    </w:p>
    <w:p>
      <w:pPr>
        <w:pStyle w:val="FirstParagraph"/>
      </w:pPr>
      <w:r>
        <w:t xml:space="preserve">Emissions from delivering the finished product to the end-user.</w:t>
      </w:r>
    </w:p>
    <w:p>
      <w:pPr>
        <w:numPr>
          <w:ilvl w:val="0"/>
          <w:numId w:val="1010"/>
        </w:numPr>
        <w:pStyle w:val="Compact"/>
      </w:pPr>
      <w:r>
        <w:t xml:space="preserve">Product Weight (approximated total BOM weight for transport): ~1.0 kg (assuming negligible weight addition during assembly)</w:t>
      </w:r>
    </w:p>
    <w:p>
      <w:pPr>
        <w:numPr>
          <w:ilvl w:val="0"/>
          <w:numId w:val="1010"/>
        </w:numPr>
        <w:pStyle w:val="Compact"/>
      </w:pPr>
      <w:r>
        <w:t xml:space="preserve">Last-Mile Delivery Mode: Small Van Delivery</w:t>
      </w:r>
    </w:p>
    <w:p>
      <w:pPr>
        <w:numPr>
          <w:ilvl w:val="0"/>
          <w:numId w:val="1010"/>
        </w:numPr>
        <w:pStyle w:val="Compact"/>
      </w:pPr>
      <w:r>
        <w:t xml:space="preserve">Estimated Last-Mile Delivery Distance: 50 km (assumption)</w:t>
      </w:r>
    </w:p>
    <w:p>
      <w:pPr>
        <w:numPr>
          <w:ilvl w:val="0"/>
          <w:numId w:val="1010"/>
        </w:numPr>
        <w:pStyle w:val="Compact"/>
      </w:pPr>
      <w:r>
        <w:t xml:space="preserve">Emission Factor (Small Van): 0.25 kg CO2e/km</w:t>
      </w:r>
    </w:p>
    <w:p>
      <w:pPr>
        <w:pStyle w:val="FirstParagraph"/>
      </w:pPr>
      <w:r>
        <w:t xml:space="preserve">Calculation: (1.0 kg / 1000 kg/tonne) * 50 km * 0.25 kg CO2e/km (simplified, typically per km for van, assuming this factor encompasses typical load) = 0.0125 kg CO2e (if using per tonne-km logic)</w:t>
      </w:r>
      <w:r>
        <w:br/>
      </w:r>
      <w:r>
        <w:t xml:space="preserve">A more direct calculation for a van would be: 1 unit * 50 km * 0.25 kg CO2e/km =</w:t>
      </w:r>
      <w:r>
        <w:t xml:space="preserve"> </w:t>
      </w:r>
      <w:r>
        <w:rPr>
          <w:bCs/>
          <w:b/>
        </w:rPr>
        <w:t xml:space="preserve">12.5 kg CO2e</w:t>
      </w:r>
      <w:r>
        <w:t xml:space="preserve"> </w:t>
      </w:r>
      <w:r>
        <w:t xml:space="preserve">(This factor per km implies emissions regardless of exact load, reflecting the \'delivery\' aspect).</w:t>
      </w:r>
    </w:p>
    <w:bookmarkEnd w:id="36"/>
    <w:bookmarkStart w:id="37" w:name="category-11-use-of-sold-products"/>
    <w:p>
      <w:pPr>
        <w:pStyle w:val="Heading4"/>
      </w:pPr>
      <w:r>
        <w:t xml:space="preserve">4.3.2. Category 11: Use of Sold Products</w:t>
      </w:r>
    </w:p>
    <w:p>
      <w:pPr>
        <w:pStyle w:val="FirstParagraph"/>
      </w:pPr>
      <w:r>
        <w:t xml:space="preserve">Emissions resulting from the product\'s energy consumption during its lifespan.</w:t>
      </w:r>
    </w:p>
    <w:p>
      <w:pPr>
        <w:numPr>
          <w:ilvl w:val="0"/>
          <w:numId w:val="1011"/>
        </w:numPr>
        <w:pStyle w:val="Compact"/>
      </w:pPr>
      <w:r>
        <w:t xml:space="preserve">Energy Consumption in Use: 10 kWh/year</w:t>
      </w:r>
    </w:p>
    <w:p>
      <w:pPr>
        <w:numPr>
          <w:ilvl w:val="0"/>
          <w:numId w:val="1011"/>
        </w:numPr>
        <w:pStyle w:val="Compact"/>
      </w:pPr>
      <w:r>
        <w:t xml:space="preserve">Product Lifespan: 5 years</w:t>
      </w:r>
    </w:p>
    <w:p>
      <w:pPr>
        <w:numPr>
          <w:ilvl w:val="0"/>
          <w:numId w:val="1011"/>
        </w:numPr>
        <w:pStyle w:val="Compact"/>
      </w:pPr>
      <w:r>
        <w:t xml:space="preserve">Electricity Emission Factor (China Grid Mix, 2026 estimate): 0.53 kg CO2e/kWh</w:t>
      </w:r>
    </w:p>
    <w:p>
      <w:pPr>
        <w:pStyle w:val="FirstParagraph"/>
      </w:pPr>
      <w:r>
        <w:t xml:space="preserve">Calculation: 10 kWh/year * 5 years * 0.53 kg CO2e/kWh =</w:t>
      </w:r>
      <w:r>
        <w:t xml:space="preserve"> </w:t>
      </w:r>
      <w:r>
        <w:rPr>
          <w:bCs/>
          <w:b/>
        </w:rPr>
        <w:t xml:space="preserve">26.5 kg CO2e</w:t>
      </w:r>
    </w:p>
    <w:bookmarkEnd w:id="37"/>
    <w:bookmarkStart w:id="38" w:name="X9f66eef2700632e081dfe139021cb724ffcd2c5"/>
    <w:p>
      <w:pPr>
        <w:pStyle w:val="Heading4"/>
      </w:pPr>
      <w:r>
        <w:t xml:space="preserve">4.3.3. Category 12: End-of-Life Treatment of Sold Products</w:t>
      </w:r>
    </w:p>
    <w:p>
      <w:pPr>
        <w:pStyle w:val="FirstParagraph"/>
      </w:pPr>
      <w:r>
        <w:t xml:space="preserve">Emissions from the disposal of the product at the end of its life, considering recyclability.</w:t>
      </w:r>
    </w:p>
    <w:p>
      <w:pPr>
        <w:numPr>
          <w:ilvl w:val="0"/>
          <w:numId w:val="1012"/>
        </w:numPr>
        <w:pStyle w:val="Compact"/>
      </w:pPr>
      <w:r>
        <w:t xml:space="preserve">Total Material Weight: 0.92 kg (sum of BOM quantities)</w:t>
      </w:r>
    </w:p>
    <w:p>
      <w:pPr>
        <w:numPr>
          <w:ilvl w:val="0"/>
          <w:numId w:val="1012"/>
        </w:numPr>
        <w:pStyle w:val="Compact"/>
      </w:pPr>
      <w:r>
        <w:t xml:space="preserve">Recyclability Percentage: 80%</w:t>
      </w:r>
    </w:p>
    <w:p>
      <w:pPr>
        <w:numPr>
          <w:ilvl w:val="0"/>
          <w:numId w:val="1012"/>
        </w:numPr>
        <w:pStyle w:val="Compact"/>
      </w:pPr>
      <w:r>
        <w:t xml:space="preserve">Non-Recyclable Waste Share: 100% - 80% = 20%</w:t>
      </w:r>
    </w:p>
    <w:p>
      <w:pPr>
        <w:numPr>
          <w:ilvl w:val="0"/>
          <w:numId w:val="1012"/>
        </w:numPr>
        <w:pStyle w:val="Compact"/>
      </w:pPr>
      <w:r>
        <w:t xml:space="preserve">Waste Disposal Emission Factor (Landfill/Incineration): 0.15 kg CO2e/kg</w:t>
      </w:r>
    </w:p>
    <w:p>
      <w:pPr>
        <w:pStyle w:val="FirstParagraph"/>
      </w:pPr>
      <w:r>
        <w:t xml:space="preserve">Calculation: 0.92 kg (total weight) * 0.20 (non-recyclable share) * 0.15 kg CO2e/kg =</w:t>
      </w:r>
      <w:r>
        <w:t xml:space="preserve"> </w:t>
      </w:r>
      <w:r>
        <w:rPr>
          <w:bCs/>
          <w:b/>
        </w:rPr>
        <w:t xml:space="preserve">0.0276 kg CO2e</w:t>
      </w:r>
    </w:p>
    <w:p>
      <w:pPr>
        <w:pStyle w:val="BodyText"/>
      </w:pPr>
      <w:r>
        <w:t xml:space="preserve">Note on Circular/Take-back Programs (njijouixue): The "Product take-back program available in select European countries"</w:t>
      </w:r>
      <w:r>
        <w:t xml:space="preserve"> </w:t>
      </w:r>
      <w:r>
        <w:t xml:space="preserve">is a crucial initiative for reducing end-of-life impacts. While the 80% recyclability</w:t>
      </w:r>
      <w:r>
        <w:t xml:space="preserve"> </w:t>
      </w:r>
      <w:r>
        <w:t xml:space="preserve">accounts for material recovery, the take-back program facilitates the collection</w:t>
      </w:r>
      <w:r>
        <w:t xml:space="preserve"> </w:t>
      </w:r>
      <w:r>
        <w:t xml:space="preserve">and proper processing, potentially improving actual recycling rates and ensuring</w:t>
      </w:r>
      <w:r>
        <w:t xml:space="preserve"> </w:t>
      </w:r>
      <w:r>
        <w:t xml:space="preserve">responsible disposal, thus contributing to circular economy impacts not fully</w:t>
      </w:r>
      <w:r>
        <w:t xml:space="preserve"> </w:t>
      </w:r>
      <w:r>
        <w:t xml:space="preserve">quantifiable with generic EoL factors alone.</w:t>
      </w:r>
    </w:p>
    <w:bookmarkEnd w:id="38"/>
    <w:bookmarkEnd w:id="39"/>
    <w:bookmarkStart w:id="40" w:name="X9b8f96e5fd6ec30b02c91cc11d45f1568d9808c"/>
    <w:p>
      <w:pPr>
        <w:pStyle w:val="Heading3"/>
      </w:pPr>
      <w:r>
        <w:t xml:space="preserve">4.4. Summary of Emissions by Scope and Lifecycle Stage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 / Scope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3, Category 1: Purchased Goods and Services (Materials)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3, Category 4: Upstream Transportation and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Subtotal Upstream (Scope 3)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6.17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2: Purchased Electricity (Manufacturing)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0.795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3, Category 9: Downstream Transportation and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3, Category 11: Use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3, Category 12: End-of-Life Treatment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0.0276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Subtotal Downstream (Scope 3)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39.0276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Product Carbon Footprint (PCF)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45.9926 kg CO2e per unit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0"/>
    <w:bookmarkEnd w:id="41"/>
    <w:bookmarkStart w:id="45" w:name="review-report"/>
    <w:p>
      <w:pPr>
        <w:pStyle w:val="Heading2"/>
      </w:pPr>
      <w:r>
        <w:t xml:space="preserve">5. Review &amp; Report</w:t>
      </w:r>
    </w:p>
    <w:bookmarkStart w:id="42" w:name="total-product-carbon-footprint"/>
    <w:p>
      <w:pPr>
        <w:pStyle w:val="Heading3"/>
      </w:pPr>
      <w:r>
        <w:t xml:space="preserve">5.1. Total Product Carbon Footprint</w:t>
      </w:r>
    </w:p>
    <w:p>
      <w:pPr>
        <w:pStyle w:val="FirstParagraph"/>
      </w:pPr>
      <w:r>
        <w:t xml:space="preserve">The estimated Product Carbon Footprint for one unit of \'wkvdyeqqjn\' is</w:t>
      </w:r>
      <w:r>
        <w:t xml:space="preserve"> </w:t>
      </w:r>
      <w:r>
        <w:rPr>
          <w:bCs/>
          <w:b/>
        </w:rPr>
        <w:t xml:space="preserve">45.99 kg CO2e</w:t>
      </w:r>
      <w:r>
        <w:t xml:space="preserve">.</w:t>
      </w:r>
    </w:p>
    <w:bookmarkEnd w:id="42"/>
    <w:bookmarkStart w:id="43" w:name="emissions-hotspots"/>
    <w:p>
      <w:pPr>
        <w:pStyle w:val="Heading3"/>
      </w:pPr>
      <w:r>
        <w:t xml:space="preserve">5.2. Emissions Hotspots</w:t>
      </w:r>
    </w:p>
    <w:p>
      <w:pPr>
        <w:pStyle w:val="FirstParagraph"/>
      </w:pPr>
      <w:r>
        <w:t xml:space="preserve">The analysis reveals the following major emissions hotspots: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Use Phase (Scope 3, Category 11):</w:t>
      </w:r>
      <w:r>
        <w:t xml:space="preserve"> </w:t>
      </w:r>
      <w:r>
        <w:t xml:space="preserve">At 26.5 kg CO2e, the energy consumption during the product\'s</w:t>
      </w:r>
      <w:r>
        <w:t xml:space="preserve"> </w:t>
      </w:r>
      <w:r>
        <w:t xml:space="preserve">5-year lifespan is the most significant contributor to the overall PCF. This highlights the importance of</w:t>
      </w:r>
      <w:r>
        <w:t xml:space="preserve"> </w:t>
      </w:r>
      <w:r>
        <w:t xml:space="preserve">energy efficiency in product design and user behavior.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Downstream Transportation (Scope 3, Category 9):</w:t>
      </w:r>
      <w:r>
        <w:t xml:space="preserve"> </w:t>
      </w:r>
      <w:r>
        <w:t xml:space="preserve">Last-mile delivery accounts for 12.5 kg CO2e.</w:t>
      </w:r>
      <w:r>
        <w:t xml:space="preserve"> </w:t>
      </w:r>
      <w:r>
        <w:t xml:space="preserve">This indicates that optimizing delivery routes, using more efficient vehicles, or exploring local production/distribution</w:t>
      </w:r>
      <w:r>
        <w:t xml:space="preserve"> </w:t>
      </w:r>
      <w:r>
        <w:t xml:space="preserve">could significantly reduce this impact.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Purchased Goods and Services (Scope 3, Category 1):</w:t>
      </w:r>
      <w:r>
        <w:t xml:space="preserve"> </w:t>
      </w:r>
      <w:r>
        <w:t xml:space="preserve">Material extraction and production, particularly</w:t>
      </w:r>
      <w:r>
        <w:t xml:space="preserve"> </w:t>
      </w:r>
      <w:r>
        <w:t xml:space="preserve">the Aluminum Casing and Circuit Board, contribute 6.04 kg CO2e. Engaging with suppliers for lower-carbon materials</w:t>
      </w:r>
      <w:r>
        <w:t xml:space="preserve"> </w:t>
      </w:r>
      <w:r>
        <w:t xml:space="preserve">and processes is crucial.</w:t>
      </w:r>
    </w:p>
    <w:bookmarkEnd w:id="43"/>
    <w:bookmarkStart w:id="44" w:name="reliability-statement"/>
    <w:p>
      <w:pPr>
        <w:pStyle w:val="Heading3"/>
      </w:pPr>
      <w:r>
        <w:t xml:space="preserve">5.3. Reliability Statement</w:t>
      </w:r>
    </w:p>
    <w:p>
      <w:pPr>
        <w:pStyle w:val="FirstParagraph"/>
      </w:pPr>
      <w:r>
        <w:t xml:space="preserve">This report is based on the provided parameters and a combination of</w:t>
      </w:r>
      <w:r>
        <w:t xml:space="preserve"> </w:t>
      </w:r>
      <w:r>
        <w:t xml:space="preserve">primary (from BOM) and secondary (industry-average emission factors from</w:t>
      </w:r>
      <w:r>
        <w:t xml:space="preserve"> </w:t>
      </w:r>
      <w:r>
        <w:t xml:space="preserve">Ecoinvent/DEFRA equivalents) data. While efforts have been made to use</w:t>
      </w:r>
      <w:r>
        <w:t xml:space="preserve"> </w:t>
      </w:r>
      <w:r>
        <w:t xml:space="preserve">the most relevant and up-to-date factors, the reliability of the PCF</w:t>
      </w:r>
      <w:r>
        <w:t xml:space="preserve"> </w:t>
      </w:r>
      <w:r>
        <w:t xml:space="preserve">is dependent on the accuracy and completeness of the input data.</w:t>
      </w:r>
      <w:r>
        <w:t xml:space="preserve"> </w:t>
      </w:r>
      <w:r>
        <w:t xml:space="preserve">For enhanced accuracy, primary data collection for all supply chain</w:t>
      </w:r>
      <w:r>
        <w:t xml:space="preserve"> </w:t>
      </w:r>
      <w:r>
        <w:t xml:space="preserve">emissions and specific regional electricity mixes is recommended.</w:t>
      </w:r>
      <w:r>
        <w:t xml:space="preserve"> </w:t>
      </w:r>
      <w:r>
        <w:t xml:space="preserve">The 95% Scope 3 coverage target, as per 2026 GHG Protocol requirements,</w:t>
      </w:r>
      <w:r>
        <w:t xml:space="preserve"> </w:t>
      </w:r>
      <w:r>
        <w:t xml:space="preserve">has been conceptually adhered to by addressing all relevant categories</w:t>
      </w:r>
      <w:r>
        <w:t xml:space="preserve"> </w:t>
      </w:r>
      <w:r>
        <w:t xml:space="preserve">with the available data.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6" w:name="recommendations-for-reduction"/>
    <w:p>
      <w:pPr>
        <w:pStyle w:val="Heading2"/>
      </w:pPr>
      <w:r>
        <w:t xml:space="preserve">Recommendations for Reduction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Energy Efficiency in Use Phase:</w:t>
      </w:r>
      <w:r>
        <w:t xml:space="preserve"> </w:t>
      </w:r>
      <w:r>
        <w:t xml:space="preserve">Investigate opportunities to reduce the product\'s</w:t>
      </w:r>
      <w:r>
        <w:t xml:space="preserve"> </w:t>
      </w:r>
      <w:r>
        <w:t xml:space="preserve">energy consumption during its lifespan through design improvements,</w:t>
      </w:r>
      <w:r>
        <w:t xml:space="preserve"> </w:t>
      </w:r>
      <w:r>
        <w:t xml:space="preserve">software optimization, or user guidance.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Sustainable Logistics:</w:t>
      </w:r>
      <w:r>
        <w:t xml:space="preserve"> </w:t>
      </w:r>
      <w:r>
        <w:t xml:space="preserve">Explore more efficient transportation modes for both</w:t>
      </w:r>
      <w:r>
        <w:t xml:space="preserve"> </w:t>
      </w:r>
      <w:r>
        <w:t xml:space="preserve">upstream and downstream logistics, such as optimizing load factors,</w:t>
      </w:r>
      <w:r>
        <w:t xml:space="preserve"> </w:t>
      </w:r>
      <w:r>
        <w:t xml:space="preserve">backhauling, or switching to lower-emission fuel types or electric vehicles for last-mile delivery.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Material Sourcing:</w:t>
      </w:r>
      <w:r>
        <w:t xml:space="preserve"> </w:t>
      </w:r>
      <w:r>
        <w:t xml:space="preserve">Collaborate with suppliers to source lower-carbon</w:t>
      </w:r>
      <w:r>
        <w:t xml:space="preserve"> </w:t>
      </w:r>
      <w:r>
        <w:t xml:space="preserve">materials, increase recycled content, and explore alternative materials with</w:t>
      </w:r>
      <w:r>
        <w:t xml:space="preserve"> </w:t>
      </w:r>
      <w:r>
        <w:t xml:space="preserve">reduced embodied emissions.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Circular Economy Integration:</w:t>
      </w:r>
      <w:r>
        <w:t xml:space="preserve"> </w:t>
      </w:r>
      <w:r>
        <w:t xml:space="preserve">Leverage the existing take-back program</w:t>
      </w:r>
      <w:r>
        <w:t xml:space="preserve"> </w:t>
      </w:r>
      <w:r>
        <w:t xml:space="preserve">to maximize actual recycling rates and explore repair, refurbishment, or</w:t>
      </w:r>
      <w:r>
        <w:t xml:space="preserve"> </w:t>
      </w:r>
      <w:r>
        <w:t xml:space="preserve">remanufacturing initiatives to extend product lifespan.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Renewable Energy Expansion:</w:t>
      </w:r>
      <w:r>
        <w:t xml:space="preserve"> </w:t>
      </w:r>
      <w:r>
        <w:t xml:space="preserve">Further increase the share of renewable energy</w:t>
      </w:r>
      <w:r>
        <w:t xml:space="preserve"> </w:t>
      </w:r>
      <w:r>
        <w:t xml:space="preserve">used in manufacturing operations.</w:t>
      </w:r>
    </w:p>
    <w:p>
      <w:pPr>
        <w:pStyle w:val="FirstParagraph"/>
      </w:pPr>
      <w:r>
        <w:t xml:space="preserve">Confidential - Internal Use Only | Page</w:t>
      </w:r>
      <w:r>
        <w:t xml:space="preserve"> </w:t>
      </w:r>
    </w:p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wkvdyeqqjn</dc:title>
  <dc:creator/>
  <dc:description>High-detail Product Carbon Footprint (PCF) analysis report for wkvdyeqqjn by qsifmevvwz, adhering to GHG Protocol standards and 2026 LSR update.</dc:description>
  <dc:language>en</dc:language>
  <cp:keywords/>
  <dcterms:created xsi:type="dcterms:W3CDTF">2026-05-30T22:15:30Z</dcterms:created>
  <dcterms:modified xsi:type="dcterms:W3CDTF">2026-05-30T22:15:30Z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