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wktztehfoj</w:t>
      </w:r>
      <w:r>
        <w:t xml:space="preserve"> </w:t>
      </w:r>
      <w:r>
        <w:t xml:space="preserve">-</w:t>
      </w:r>
      <w:r>
        <w:t xml:space="preserve"> </w:t>
      </w:r>
      <w:r>
        <w:t xml:space="preserve">diujmvhjnz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For Product:</w:t>
      </w:r>
      <w:r>
        <w:t xml:space="preserve"> </w:t>
      </w:r>
      <w:r>
        <w:t xml:space="preserve">wktztehfoj</w:t>
      </w:r>
    </w:p>
    <w:p>
      <w:pPr>
        <w:pStyle w:val="BodyText"/>
      </w:pPr>
      <w:r>
        <w:rPr>
          <w:bCs/>
          <w:b/>
        </w:rPr>
        <w:t xml:space="preserve">Company Name:</w:t>
      </w:r>
      <w:r>
        <w:t xml:space="preserve"> </w:t>
      </w:r>
      <w:r>
        <w:t xml:space="preserve">diujmvhjnz</w:t>
      </w:r>
    </w:p>
    <w:p>
      <w:pPr>
        <w:pStyle w:val="BodyText"/>
      </w:pPr>
      <w:r>
        <w:rPr>
          <w:bCs/>
          <w:b/>
        </w:rPr>
        <w:t xml:space="preserve">Senior Sustainability Consultant:</w:t>
      </w:r>
      <w:r>
        <w:t xml:space="preserve"> </w:t>
      </w:r>
      <w:r>
        <w:t xml:space="preserve">fxrvxqgdpz</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industry standards, and simulated parameters where specific values were not provided. While efforts have been made to ensure accuracy based on the provided inputs, the actual environmental impact may vary. This document is intended for internal informational purposes only.</w:t>
      </w:r>
    </w:p>
    <w:bookmarkEnd w:id="20"/>
    <w:bookmarkStart w:id="21"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wktztehfoj</w:t>
      </w:r>
    </w:p>
    <w:p>
      <w:pPr>
        <w:pStyle w:val="BodyText"/>
      </w:pPr>
      <w:r>
        <w:rPr>
          <w:bCs/>
          <w:b/>
        </w:rPr>
        <w:t xml:space="preserve">Company:</w:t>
      </w:r>
      <w:r>
        <w:t xml:space="preserve"> </w:t>
      </w:r>
      <w:r>
        <w:t xml:space="preserve">diujmvhjnz</w:t>
      </w:r>
    </w:p>
    <w:p>
      <w:pPr>
        <w:pStyle w:val="BodyText"/>
      </w:pPr>
      <w:r>
        <w:rPr>
          <w:bCs/>
          <w:b/>
        </w:rPr>
        <w:t xml:space="preserve">Consultant:</w:t>
      </w:r>
      <w:r>
        <w:t xml:space="preserve"> </w:t>
      </w:r>
      <w:r>
        <w:t xml:space="preserve">fxrvxqgdpz, Senior Sustainability Consultant</w:t>
      </w:r>
    </w:p>
    <w:p>
      <w:pPr>
        <w:pStyle w:val="BodyText"/>
      </w:pPr>
      <w:r>
        <w:rPr>
          <w:bCs/>
          <w:b/>
        </w:rPr>
        <w:t xml:space="preserve">Generated Date:</w:t>
      </w:r>
      <w:r>
        <w:t xml:space="preserve"> </w:t>
      </w:r>
      <w:r>
        <w:t xml:space="preserve">May 28,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high-detail Product Carbon Footprint (PCF) analysis, conducted by fxrvxqgdpz for diujmvhjnz, provides a comprehensive assessment of the greenhouse gas (GHG) emissions associated with the product wktztehfoj. Adhering to the GHG Protocol standards, this report covers emissions across the product\'s lifecycle, from material acquisition and manufacturing to the use phase and end-of-life. Special attention has been given to achieving at least 95% coverage for Scope 3 emissions, as per 2026 requirements, and incorporating considerations from the Land Sector and Removals (LSR) Standard. The primary objective is to identify carbon hotspots and inform strategies for emission reduction throughout the value chain.</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foundation of this PCF analysis is a clearly defined scope, ensuring consistency and comparability of results.</w:t>
      </w:r>
    </w:p>
    <w:p>
      <w:pPr>
        <w:numPr>
          <w:ilvl w:val="0"/>
          <w:numId w:val="1001"/>
        </w:numPr>
        <w:pStyle w:val="Compact"/>
      </w:pPr>
      <w:r>
        <w:rPr>
          <w:bCs/>
          <w:b/>
        </w:rPr>
        <w:t xml:space="preserve">Functional Unit:</w:t>
      </w:r>
      <w:r>
        <w:t xml:space="preserve"> </w:t>
      </w:r>
      <w:r>
        <w:t xml:space="preserve">1.0 unit of wktztehfoj. This represents the quantified performance of the product for which the environmental impacts are calculated.</w:t>
      </w:r>
    </w:p>
    <w:p>
      <w:pPr>
        <w:numPr>
          <w:ilvl w:val="0"/>
          <w:numId w:val="1001"/>
        </w:numPr>
        <w:pStyle w:val="Compact"/>
      </w:pPr>
      <w:r>
        <w:rPr>
          <w:bCs/>
          <w:b/>
        </w:rPr>
        <w:t xml:space="preserve">System Boundary:</w:t>
      </w:r>
      <w:r>
        <w:t xml:space="preserve"> </w:t>
      </w:r>
      <w:r>
        <w:t xml:space="preserve">While the primary boundary for direct manufacturing processes is defined as \'factory_gate\', this analysis extends to a cradle-to-grave perspective, covering the full lifecycle including raw material extraction, manufacturing, transportation, use phase, and end-of-life treatment, as per specific client requirements for comprehensive Scope 3 reporting and to fulfill the requirement of 95% Scope 3 coverage.</w:t>
      </w:r>
    </w:p>
    <w:p>
      <w:pPr>
        <w:numPr>
          <w:ilvl w:val="0"/>
          <w:numId w:val="1001"/>
        </w:numPr>
        <w:pStyle w:val="Compact"/>
      </w:pPr>
      <w:r>
        <w:rPr>
          <w:bCs/>
          <w:b/>
        </w:rPr>
        <w:t xml:space="preserve">Geographic Scope:</w:t>
      </w:r>
      <w:r>
        <w:t xml:space="preserve"> </w:t>
      </w:r>
      <w:r>
        <w:t xml:space="preserve">The final production country is China, influencing local energy grids and manufacturing emission factors. The supply chain focus is Europe Focused, which impacts upstream material sourcing and transportation distances and modes.</w:t>
      </w:r>
    </w:p>
    <w:p>
      <w:pPr>
        <w:numPr>
          <w:ilvl w:val="0"/>
          <w:numId w:val="1001"/>
        </w:numPr>
        <w:pStyle w:val="Compact"/>
      </w:pPr>
      <w:r>
        <w:rPr>
          <w:bCs/>
          <w:b/>
        </w:rPr>
        <w:t xml:space="preserve">Accounting Standard:</w:t>
      </w:r>
      <w:r>
        <w:t xml:space="preserve"> </w:t>
      </w:r>
      <w:r>
        <w:t xml:space="preserve">GHG Protocol (Product Standard and Corporate Value Chain (Scope 3) Standard). Emissions are categorized into Scope 1 (direct emissions), Scope 2 (purchased electricity), and Scope 3 (all other indirect value chain emissions).</w:t>
      </w:r>
    </w:p>
    <w:p>
      <w:pPr>
        <w:numPr>
          <w:ilvl w:val="0"/>
          <w:numId w:val="1001"/>
        </w:numPr>
        <w:pStyle w:val="Compact"/>
      </w:pPr>
      <w:r>
        <w:rPr>
          <w:bCs/>
          <w:b/>
        </w:rPr>
        <w:t xml:space="preserve">Allocation:</w:t>
      </w:r>
      <w:r>
        <w:t xml:space="preserve"> </w:t>
      </w:r>
      <w:r>
        <w:t xml:space="preserve">Emissions are allocated directly to the functional unit. Co-product allocation is not applicable for this single product analysis. For multi-material recycling at End-of-Life, mass allocation is applied based on material type and recyclability.</w:t>
      </w:r>
    </w:p>
    <w:p>
      <w:r>
        <w:pict>
          <v:rect style="width:0;height:1.5pt" o:hralign="center" o:hrstd="t" o:hr="t"/>
        </w:pict>
      </w:r>
    </w:p>
    <w:bookmarkEnd w:id="23"/>
    <w:bookmarkStart w:id="27" w:name="X07cf0ea829f60a4f8fa47c00f72a11793fbe483"/>
    <w:p>
      <w:pPr>
        <w:pStyle w:val="Heading2"/>
      </w:pPr>
      <w:r>
        <w:t xml:space="preserve">2. Lifecycle Mapping (LCI Inventory Stages) &amp; 3. Data Collection</w:t>
      </w:r>
    </w:p>
    <w:p>
      <w:pPr>
        <w:pStyle w:val="FirstParagraph"/>
      </w:pPr>
      <w:r>
        <w:t xml:space="preserve">The lifecycle of wktztehfoj is mapped into distinct stages to systematically collect and quantify environmental data. This analysis leverages the provided Detailed Bill of Materials (BOM) for high-accuracy material impact and incorporates specific logistics, energy, use phase, and end-of-life data.</w:t>
      </w:r>
    </w:p>
    <w:bookmarkStart w:id="24" w:name="X105d1063a75173eea9125bd94b04df88f5d8e4f"/>
    <w:p>
      <w:pPr>
        <w:pStyle w:val="Heading3"/>
      </w:pPr>
      <w:r>
        <w:t xml:space="preserve">Detailed Bill of Materials (BOM): wlhryvwi (Sample Data)</w:t>
      </w:r>
    </w:p>
    <w:p>
      <w:pPr>
        <w:pStyle w:val="FirstParagraph"/>
      </w:pPr>
      <w:r>
        <w:t xml:space="preserve">For high-accuracy material impact, the following BOM data has been used. The "Total Carbon" value for each item is directly incorporated into the calculation, representing the emissions from material extraction, processing, and upstream transport to the component manufacturer.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0.50</w:t>
            </w:r>
          </w:p>
        </w:tc>
        <w:tc>
          <w:tcPr/>
          <w:p>
            <w:pPr>
              <w:pStyle w:val="Compact"/>
              <w:jc w:val="left"/>
            </w:pPr>
            <w:r>
              <w:t xml:space="preserve">kg</w:t>
            </w:r>
          </w:p>
        </w:tc>
        <w:tc>
          <w:tcPr/>
          <w:p>
            <w:pPr>
              <w:pStyle w:val="Compact"/>
              <w:jc w:val="left"/>
            </w:pPr>
            <w:r>
              <w:t xml:space="preserve">7.50</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3.00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25.00</w:t>
            </w:r>
          </w:p>
        </w:tc>
        <w:tc>
          <w:tcPr/>
          <w:p>
            <w:pPr>
              <w:pStyle w:val="Compact"/>
              <w:jc w:val="left"/>
            </w:pPr>
            <w:r>
              <w:t xml:space="preserve">1.25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Converting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0.20</w:t>
            </w:r>
          </w:p>
        </w:tc>
      </w:tr>
      <w:tr>
        <w:tc>
          <w:tcPr/>
          <w:p>
            <w:pPr>
              <w:pStyle w:val="Compact"/>
              <w:jc w:val="left"/>
            </w:pPr>
            <w:r>
              <w:t xml:space="preserve">6</w:t>
            </w:r>
          </w:p>
        </w:tc>
        <w:tc>
          <w:tcPr/>
          <w:p>
            <w:pPr>
              <w:pStyle w:val="Compact"/>
              <w:jc w:val="left"/>
            </w:pPr>
            <w:r>
              <w:t xml:space="preserve">Packaging Plastic Film</w:t>
            </w:r>
          </w:p>
        </w:tc>
        <w:tc>
          <w:tcPr/>
          <w:p>
            <w:pPr>
              <w:pStyle w:val="Compact"/>
              <w:jc w:val="left"/>
            </w:pPr>
            <w:r>
              <w:t xml:space="preserve">Plastics</w:t>
            </w:r>
          </w:p>
        </w:tc>
        <w:tc>
          <w:tcPr/>
          <w:p>
            <w:pPr>
              <w:pStyle w:val="Compact"/>
              <w:jc w:val="left"/>
            </w:pPr>
            <w:r>
              <w:t xml:space="preserve">Film 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2.50</w:t>
            </w:r>
          </w:p>
        </w:tc>
        <w:tc>
          <w:tcPr/>
          <w:p>
            <w:pPr>
              <w:pStyle w:val="Compact"/>
              <w:jc w:val="left"/>
            </w:pPr>
            <w:r>
              <w:t xml:space="preserve">0.025</w:t>
            </w:r>
          </w:p>
        </w:tc>
      </w:tr>
    </w:tbl>
    <w:p>
      <w:pPr>
        <w:pStyle w:val="BodyText"/>
      </w:pPr>
      <w:r>
        <w:rPr>
          <w:bCs/>
          <w:b/>
        </w:rPr>
        <w:t xml:space="preserve">Total Product Weight (excluding packaging):</w:t>
      </w:r>
      <w:r>
        <w:t xml:space="preserve"> </w:t>
      </w:r>
      <w:r>
        <w:t xml:space="preserve">0.95 kg</w:t>
      </w:r>
    </w:p>
    <w:p>
      <w:pPr>
        <w:pStyle w:val="BodyText"/>
      </w:pPr>
      <w:r>
        <w:rPr>
          <w:bCs/>
          <w:b/>
        </w:rPr>
        <w:t xml:space="preserve">Total Product Weight (including packaging):</w:t>
      </w:r>
      <w:r>
        <w:t xml:space="preserve"> </w:t>
      </w:r>
      <w:r>
        <w:t xml:space="preserve">1.16 kg</w:t>
      </w:r>
    </w:p>
    <w:bookmarkEnd w:id="24"/>
    <w:bookmarkStart w:id="25" w:name="energy-and-transport-data-parameters"/>
    <w:p>
      <w:pPr>
        <w:pStyle w:val="Heading3"/>
      </w:pPr>
      <w:r>
        <w:t xml:space="preserve">Energy and Transport Data Parameters</w:t>
      </w:r>
    </w:p>
    <w:p>
      <w:pPr>
        <w:numPr>
          <w:ilvl w:val="0"/>
          <w:numId w:val="1002"/>
        </w:numPr>
        <w:pStyle w:val="Compact"/>
      </w:pPr>
      <w:r>
        <w:rPr>
          <w:bCs/>
          <w:b/>
        </w:rPr>
        <w:t xml:space="preserve">Transport Mode (Upstream to Factory):</w:t>
      </w:r>
      <w:r>
        <w:t xml:space="preserve"> </w:t>
      </w:r>
      <w:r>
        <w:t xml:space="preserve">Ocean Freight (Main Leg), Road Freight (Pre/Post-Carriage)</w:t>
      </w:r>
    </w:p>
    <w:p>
      <w:pPr>
        <w:numPr>
          <w:ilvl w:val="0"/>
          <w:numId w:val="1002"/>
        </w:numPr>
        <w:pStyle w:val="Compact"/>
      </w:pPr>
      <w:r>
        <w:rPr>
          <w:bCs/>
          <w:b/>
        </w:rPr>
        <w:t xml:space="preserve">Transport Distance (Upstream):</w:t>
      </w:r>
    </w:p>
    <w:p>
      <w:pPr>
        <w:numPr>
          <w:ilvl w:val="1"/>
          <w:numId w:val="1003"/>
        </w:numPr>
        <w:pStyle w:val="Compact"/>
      </w:pPr>
      <w:r>
        <w:t xml:space="preserve">Ocean Freight: 8,000 km</w:t>
      </w:r>
    </w:p>
    <w:p>
      <w:pPr>
        <w:numPr>
          <w:ilvl w:val="1"/>
          <w:numId w:val="1003"/>
        </w:numPr>
        <w:pStyle w:val="Compact"/>
      </w:pPr>
      <w:r>
        <w:t xml:space="preserve">Road Freight (to port in Europe, from port to factory in China): 1,000 km (total)</w:t>
      </w:r>
    </w:p>
    <w:p>
      <w:pPr>
        <w:numPr>
          <w:ilvl w:val="0"/>
          <w:numId w:val="1002"/>
        </w:numPr>
        <w:pStyle w:val="Compact"/>
      </w:pPr>
      <w:r>
        <w:rPr>
          <w:bCs/>
          <w:b/>
        </w:rPr>
        <w:t xml:space="preserve">Last-Mile Delivery Channel (Downstream):</w:t>
      </w:r>
      <w:r>
        <w:t xml:space="preserve"> </w:t>
      </w:r>
      <w:r>
        <w:t xml:space="preserve">Road Freight (Light Commercial Vehicle)</w:t>
      </w:r>
    </w:p>
    <w:p>
      <w:pPr>
        <w:numPr>
          <w:ilvl w:val="0"/>
          <w:numId w:val="1002"/>
        </w:numPr>
        <w:pStyle w:val="Compact"/>
      </w:pPr>
      <w:r>
        <w:rPr>
          <w:bCs/>
          <w:b/>
        </w:rPr>
        <w:t xml:space="preserve">Transport Distance (Downstream Last-Mile):</w:t>
      </w:r>
      <w:r>
        <w:t xml:space="preserve"> </w:t>
      </w:r>
      <w:r>
        <w:t xml:space="preserve">100 km</w:t>
      </w:r>
    </w:p>
    <w:p>
      <w:pPr>
        <w:numPr>
          <w:ilvl w:val="0"/>
          <w:numId w:val="1002"/>
        </w:numPr>
        <w:pStyle w:val="Compact"/>
      </w:pPr>
      <w:r>
        <w:rPr>
          <w:bCs/>
          <w:b/>
        </w:rPr>
        <w:t xml:space="preserve">Renewable Energy Usage (Manufacturing):</w:t>
      </w:r>
      <w:r>
        <w:t xml:space="preserve"> </w:t>
      </w:r>
      <w:r>
        <w:t xml:space="preserve">ultsjnupfv (simulated as 70%)</w:t>
      </w:r>
    </w:p>
    <w:p>
      <w:pPr>
        <w:numPr>
          <w:ilvl w:val="0"/>
          <w:numId w:val="1002"/>
        </w:numPr>
        <w:pStyle w:val="Compact"/>
      </w:pPr>
      <w:r>
        <w:rPr>
          <w:bCs/>
          <w:b/>
        </w:rPr>
        <w:t xml:space="preserve">Energy Intensity (Manufacturing kWh/unit):</w:t>
      </w:r>
      <w:r>
        <w:t xml:space="preserve"> </w:t>
      </w:r>
      <w:r>
        <w:t xml:space="preserve">etdykjyjrz (simulated as 2.5 kWh/unit)</w:t>
      </w:r>
    </w:p>
    <w:p>
      <w:pPr>
        <w:numPr>
          <w:ilvl w:val="0"/>
          <w:numId w:val="1002"/>
        </w:numPr>
        <w:pStyle w:val="Compact"/>
      </w:pPr>
      <w:r>
        <w:rPr>
          <w:bCs/>
          <w:b/>
        </w:rPr>
        <w:t xml:space="preserve">Product Lifespan:</w:t>
      </w:r>
      <w:r>
        <w:t xml:space="preserve"> </w:t>
      </w:r>
      <w:r>
        <w:t xml:space="preserve">yvrtyunlxu (simulated as 5 years)</w:t>
      </w:r>
    </w:p>
    <w:p>
      <w:pPr>
        <w:numPr>
          <w:ilvl w:val="0"/>
          <w:numId w:val="1002"/>
        </w:numPr>
        <w:pStyle w:val="Compact"/>
      </w:pPr>
      <w:r>
        <w:rPr>
          <w:bCs/>
          <w:b/>
        </w:rPr>
        <w:t xml:space="preserve">Energy Consumption in Use (kWh/year):</w:t>
      </w:r>
      <w:r>
        <w:t xml:space="preserve"> </w:t>
      </w:r>
      <w:r>
        <w:t xml:space="preserve">mfywrnuvzs (simulated as 10 kWh/year)</w:t>
      </w:r>
    </w:p>
    <w:p>
      <w:pPr>
        <w:numPr>
          <w:ilvl w:val="0"/>
          <w:numId w:val="1002"/>
        </w:numPr>
        <w:pStyle w:val="Compact"/>
      </w:pPr>
      <w:r>
        <w:rPr>
          <w:bCs/>
          <w:b/>
        </w:rPr>
        <w:t xml:space="preserve">Recyclability Percentage (of product mass):</w:t>
      </w:r>
      <w:r>
        <w:t xml:space="preserve"> </w:t>
      </w:r>
      <w:r>
        <w:t xml:space="preserve">friqsgnvze (simulated as 85%)</w:t>
      </w:r>
    </w:p>
    <w:p>
      <w:pPr>
        <w:numPr>
          <w:ilvl w:val="0"/>
          <w:numId w:val="1002"/>
        </w:numPr>
        <w:pStyle w:val="Compact"/>
      </w:pPr>
      <w:r>
        <w:rPr>
          <w:bCs/>
          <w:b/>
        </w:rPr>
        <w:t xml:space="preserve">Circular/Take-back Programs:</w:t>
      </w:r>
      <w:r>
        <w:t xml:space="preserve"> </w:t>
      </w:r>
      <w:r>
        <w:t xml:space="preserve">hjniuekvmz (simulated as Active, with a 20% return rate for refurbishment/recycling)</w:t>
      </w:r>
    </w:p>
    <w:bookmarkEnd w:id="25"/>
    <w:bookmarkStart w:id="26" w:name="X50ad056a944fd6517a01ef6ba4682e94cdbda51"/>
    <w:p>
      <w:pPr>
        <w:pStyle w:val="Heading3"/>
      </w:pPr>
      <w:r>
        <w:t xml:space="preserve">Emission Factors Used (Representative Values)</w:t>
      </w:r>
    </w:p>
    <w:p>
      <w:pPr>
        <w:numPr>
          <w:ilvl w:val="0"/>
          <w:numId w:val="1004"/>
        </w:numPr>
        <w:pStyle w:val="Compact"/>
      </w:pPr>
      <w:r>
        <w:rPr>
          <w:bCs/>
          <w:b/>
        </w:rPr>
        <w:t xml:space="preserve">Electricity (China National Average):</w:t>
      </w:r>
      <w:r>
        <w:t xml:space="preserve"> </w:t>
      </w:r>
      <w:r>
        <w:t xml:space="preserve">0.6205 kgCO2e/kWh. This factor is used for manufacturing energy and use-phase electricity consumption.</w:t>
      </w:r>
    </w:p>
    <w:p>
      <w:pPr>
        <w:numPr>
          <w:ilvl w:val="0"/>
          <w:numId w:val="1004"/>
        </w:numPr>
        <w:pStyle w:val="Compact"/>
      </w:pPr>
      <w:r>
        <w:rPr>
          <w:bCs/>
          <w:b/>
        </w:rPr>
        <w:t xml:space="preserve">Ocean Freight (Container Ship, average):</w:t>
      </w:r>
      <w:r>
        <w:t xml:space="preserve"> </w:t>
      </w:r>
      <w:r>
        <w:t xml:space="preserve">0.016 kgCO2e/tonne-km.</w:t>
      </w:r>
    </w:p>
    <w:p>
      <w:pPr>
        <w:numPr>
          <w:ilvl w:val="0"/>
          <w:numId w:val="1004"/>
        </w:numPr>
        <w:pStyle w:val="Compact"/>
      </w:pPr>
      <w:r>
        <w:rPr>
          <w:bCs/>
          <w:b/>
        </w:rPr>
        <w:t xml:space="preserve">Road Freight (Heavy Duty Truck):</w:t>
      </w:r>
      <w:r>
        <w:t xml:space="preserve"> </w:t>
      </w:r>
      <w:r>
        <w:t xml:space="preserve">0.08 kgCO2e/tonne-km. Used for bulk transport of components.</w:t>
      </w:r>
    </w:p>
    <w:p>
      <w:pPr>
        <w:numPr>
          <w:ilvl w:val="0"/>
          <w:numId w:val="1004"/>
        </w:numPr>
        <w:pStyle w:val="Compact"/>
      </w:pPr>
      <w:r>
        <w:rPr>
          <w:bCs/>
          <w:b/>
        </w:rPr>
        <w:t xml:space="preserve">Road Freight (Light Commercial Vehicle):</w:t>
      </w:r>
      <w:r>
        <w:t xml:space="preserve"> </w:t>
      </w:r>
      <w:r>
        <w:t xml:space="preserve">0.20 kgCO2e/tonne-km. Used for last-mile delivery.</w:t>
      </w:r>
    </w:p>
    <w:p>
      <w:pPr>
        <w:numPr>
          <w:ilvl w:val="0"/>
          <w:numId w:val="1004"/>
        </w:numPr>
        <w:pStyle w:val="Compact"/>
      </w:pPr>
      <w:r>
        <w:rPr>
          <w:bCs/>
          <w:b/>
        </w:rPr>
        <w:t xml:space="preserve">End-of-Life (Landfilling, generic non-recycled waste):</w:t>
      </w:r>
      <w:r>
        <w:t xml:space="preserve"> </w:t>
      </w:r>
      <w:r>
        <w:t xml:space="preserve">0.5 kgCO2e/kg.</w:t>
      </w:r>
    </w:p>
    <w:p>
      <w:pPr>
        <w:numPr>
          <w:ilvl w:val="0"/>
          <w:numId w:val="1004"/>
        </w:numPr>
        <w:pStyle w:val="Compact"/>
      </w:pPr>
      <w:r>
        <w:rPr>
          <w:bCs/>
          <w:b/>
        </w:rPr>
        <w:t xml:space="preserve">End-of-Life (Recycling Credit, generic avoided emissions):</w:t>
      </w:r>
      <w:r>
        <w:t xml:space="preserve"> </w:t>
      </w:r>
      <w:r>
        <w:t xml:space="preserve">-1.5 kgCO2e/kg. This represents avoided emissions from primary material production due to recycling.</w:t>
      </w:r>
    </w:p>
    <w:p>
      <w:r>
        <w:pict>
          <v:rect style="width:0;height:1.5pt" o:hralign="center" o:hrstd="t" o:hr="t"/>
        </w:pict>
      </w:r>
    </w:p>
    <w:bookmarkEnd w:id="26"/>
    <w:bookmarkEnd w:id="27"/>
    <w:bookmarkStart w:id="39" w:name="emission-calculation"/>
    <w:p>
      <w:pPr>
        <w:pStyle w:val="Heading2"/>
      </w:pPr>
      <w:r>
        <w:t xml:space="preserve">4. Emission Calculation</w:t>
      </w:r>
    </w:p>
    <w:p>
      <w:pPr>
        <w:pStyle w:val="FirstParagraph"/>
      </w:pPr>
      <w:r>
        <w:t xml:space="preserve">Emissions are calculated for each lifecycle stage and categorized according to the GHG Protocol. For the given "factory_gate" boundary, emissions directly from manufacturing operations (Scope 1) and purchased electricity (Scope 2) are covered, while upstream (materials, transport to factory) and downstream (transport from factory, use, EoL) fall under Scope 3. The 2026 LSR Update and 95% Scope 3 coverage are integrated into the reporting.</w:t>
      </w:r>
    </w:p>
    <w:bookmarkStart w:id="36" w:name="calculations-breakdown"/>
    <w:p>
      <w:pPr>
        <w:pStyle w:val="Heading3"/>
      </w:pPr>
      <w:r>
        <w:t xml:space="preserve">Calculations Breakdown</w:t>
      </w:r>
    </w:p>
    <w:bookmarkStart w:id="28" w:name="X4a0967fde2e57d68680411754f837a570478ba8"/>
    <w:p>
      <w:pPr>
        <w:pStyle w:val="Heading4"/>
      </w:pPr>
      <w:r>
        <w:t xml:space="preserve">Scope 1: Direct Emissions (Operational Control)</w:t>
      </w:r>
    </w:p>
    <w:p>
      <w:pPr>
        <w:pStyle w:val="FirstParagraph"/>
      </w:pPr>
      <w:r>
        <w:t xml:space="preserve">For a \'factory_gate\' boundary focused on product PCF, direct Scope 1 emissions from fuel combustion on-site for manufacturing processes are generally considered. Assuming the manufacturing facility primarily uses purchased electricity for energy, direct fuel combustion for process heat, etc., is considered minimal or covered by broader Scope 3 fuel-related activities if not directly owned/controlled and quantified. For this specific product PCF, we assume direct fuel combustion is negligible or part of Scope 3, Category 3 as typically the product-level direct emissions are often zero unless specific machinery fuel consumption is attributed. For a simplified PCF under factory_gate, we often see Scope 1 emissions attributed to the corporate level rather than a per-product basis unless specific, direct fuel use for a product is identified.</w:t>
      </w:r>
    </w:p>
    <w:p>
      <w:pPr>
        <w:numPr>
          <w:ilvl w:val="0"/>
          <w:numId w:val="1005"/>
        </w:numPr>
        <w:pStyle w:val="Compact"/>
      </w:pPr>
      <w:r>
        <w:rPr>
          <w:bCs/>
          <w:b/>
        </w:rPr>
        <w:t xml:space="preserve">Total Scope 1 Emissions:</w:t>
      </w:r>
      <w:r>
        <w:t xml:space="preserve"> </w:t>
      </w:r>
      <w:r>
        <w:t xml:space="preserve">0.00 kgCO2e (Assumed negligible at product level for this PCF, focusing on purchased energy for manufacturing.)</w:t>
      </w:r>
    </w:p>
    <w:bookmarkEnd w:id="28"/>
    <w:bookmarkStart w:id="29" w:name="X31a83b4b70a317e445d6fef5bd812f4093a77d6"/>
    <w:p>
      <w:pPr>
        <w:pStyle w:val="Heading4"/>
      </w:pPr>
      <w:r>
        <w:t xml:space="preserve">Scope 2: Purchased Electricity (Manufacturing)</w:t>
      </w:r>
    </w:p>
    <w:p>
      <w:pPr>
        <w:pStyle w:val="FirstParagraph"/>
      </w:pPr>
      <w:r>
        <w:t xml:space="preserve">Emissions from electricity purchased for manufacturing operations in China.</w:t>
      </w:r>
    </w:p>
    <w:p>
      <w:pPr>
        <w:numPr>
          <w:ilvl w:val="0"/>
          <w:numId w:val="1006"/>
        </w:numPr>
        <w:pStyle w:val="Compact"/>
      </w:pPr>
      <w:r>
        <w:t xml:space="preserve">Energy Intensity: 2.5 kWh/unit (etdykjyjrz)</w:t>
      </w:r>
    </w:p>
    <w:p>
      <w:pPr>
        <w:numPr>
          <w:ilvl w:val="0"/>
          <w:numId w:val="1006"/>
        </w:numPr>
        <w:pStyle w:val="Compact"/>
      </w:pPr>
      <w:r>
        <w:t xml:space="preserve">Renewable Energy Usage: 70% (ultsjnupfv)</w:t>
      </w:r>
    </w:p>
    <w:p>
      <w:pPr>
        <w:numPr>
          <w:ilvl w:val="0"/>
          <w:numId w:val="1006"/>
        </w:numPr>
        <w:pStyle w:val="Compact"/>
      </w:pPr>
      <w:r>
        <w:t xml:space="preserve">Non-renewable energy consumption: 2.5 kWh/unit * (1 - 0.70) = 0.75 kWh/unit</w:t>
      </w:r>
    </w:p>
    <w:p>
      <w:pPr>
        <w:numPr>
          <w:ilvl w:val="0"/>
          <w:numId w:val="1006"/>
        </w:numPr>
        <w:pStyle w:val="Compact"/>
      </w:pPr>
      <w:r>
        <w:t xml:space="preserve">Electricity Emission Factor (China): 0.6205 kgCO2e/kWh</w:t>
      </w:r>
    </w:p>
    <w:p>
      <w:pPr>
        <w:numPr>
          <w:ilvl w:val="0"/>
          <w:numId w:val="1006"/>
        </w:numPr>
        <w:pStyle w:val="Compact"/>
      </w:pPr>
      <w:r>
        <w:rPr>
          <w:bCs/>
          <w:b/>
        </w:rPr>
        <w:t xml:space="preserve">Scope 2 Emissions:</w:t>
      </w:r>
      <w:r>
        <w:t xml:space="preserve"> </w:t>
      </w:r>
      <w:r>
        <w:t xml:space="preserve">0.75 kWh/unit * 0.6205 kgCO2e/kWh = 0.465 kgCO2e</w:t>
      </w:r>
    </w:p>
    <w:bookmarkEnd w:id="29"/>
    <w:bookmarkStart w:id="35" w:name="scope-3-value-chain-emissions"/>
    <w:p>
      <w:pPr>
        <w:pStyle w:val="Heading4"/>
      </w:pPr>
      <w:r>
        <w:t xml:space="preserve">Scope 3: Value Chain Emissions</w:t>
      </w:r>
    </w:p>
    <w:p>
      <w:pPr>
        <w:pStyle w:val="FirstParagraph"/>
      </w:pPr>
      <w:r>
        <w:t xml:space="preserve">This covers upstream and downstream emissions that are not directly controlled by diujmvhjnz but are associated with the product wktztehfoj.</w:t>
      </w:r>
    </w:p>
    <w:bookmarkStart w:id="30" w:name="X4eb318cf884fd0d5e8b1e3f55526e2cb341a877"/>
    <w:p>
      <w:pPr>
        <w:pStyle w:val="Heading5"/>
      </w:pPr>
      <w:r>
        <w:t xml:space="preserve">Scope 3, Category 1: Purchased Goods and Services (Materials)</w:t>
      </w:r>
    </w:p>
    <w:p>
      <w:pPr>
        <w:pStyle w:val="FirstParagraph"/>
      </w:pPr>
      <w:r>
        <w:t xml:space="preserve">Emissions from the extraction, production, and upstream transportation of raw materials and components (from BOM).</w:t>
      </w:r>
    </w:p>
    <w:p>
      <w:pPr>
        <w:numPr>
          <w:ilvl w:val="0"/>
          <w:numId w:val="1007"/>
        </w:numPr>
        <w:pStyle w:val="Compact"/>
      </w:pPr>
      <w:r>
        <w:t xml:space="preserve">Sum of "Total Carbon" from BOM (wlhryvwi): 3.75 + 0.90 + 1.50 + 1.25 + 0.20 + 0.025 = 7.625 kgCO2e</w:t>
      </w:r>
    </w:p>
    <w:p>
      <w:pPr>
        <w:numPr>
          <w:ilvl w:val="0"/>
          <w:numId w:val="1007"/>
        </w:numPr>
        <w:pStyle w:val="Compact"/>
      </w:pPr>
      <w:r>
        <w:rPr>
          <w:bCs/>
          <w:b/>
        </w:rPr>
        <w:t xml:space="preserve">Total Category 1 Emissions:</w:t>
      </w:r>
      <w:r>
        <w:t xml:space="preserve"> </w:t>
      </w:r>
      <w:r>
        <w:t xml:space="preserve">7.625 kgCO2e</w:t>
      </w:r>
    </w:p>
    <w:bookmarkEnd w:id="30"/>
    <w:bookmarkStart w:id="31" w:name="Xeb7460fc33eefd657e46dfabf63206f5a5f75b2"/>
    <w:p>
      <w:pPr>
        <w:pStyle w:val="Heading5"/>
      </w:pPr>
      <w:r>
        <w:t xml:space="preserve">Scope 3, Category 4: Upstream Transportation and Distribution (Materials to Factory)</w:t>
      </w:r>
    </w:p>
    <w:p>
      <w:pPr>
        <w:pStyle w:val="FirstParagraph"/>
      </w:pPr>
      <w:r>
        <w:t xml:space="preserve">Emissions from transporting materials and components to the manufacturing facility in China.</w:t>
      </w:r>
    </w:p>
    <w:p>
      <w:pPr>
        <w:numPr>
          <w:ilvl w:val="0"/>
          <w:numId w:val="1008"/>
        </w:numPr>
        <w:pStyle w:val="Compact"/>
      </w:pPr>
      <w:r>
        <w:t xml:space="preserve">Product Weight (for materials before assembly, excluding packaging): 0.95 kg</w:t>
      </w:r>
    </w:p>
    <w:p>
      <w:pPr>
        <w:numPr>
          <w:ilvl w:val="0"/>
          <w:numId w:val="1008"/>
        </w:numPr>
        <w:pStyle w:val="Compact"/>
      </w:pPr>
      <w:r>
        <w:t xml:space="preserve">Ocean Freight:</w:t>
      </w:r>
    </w:p>
    <w:p>
      <w:pPr>
        <w:numPr>
          <w:ilvl w:val="1"/>
          <w:numId w:val="1009"/>
        </w:numPr>
        <w:pStyle w:val="Compact"/>
      </w:pPr>
      <w:r>
        <w:t xml:space="preserve">Distance: 8,000 km (npsfnjdjum)</w:t>
      </w:r>
    </w:p>
    <w:p>
      <w:pPr>
        <w:numPr>
          <w:ilvl w:val="1"/>
          <w:numId w:val="1009"/>
        </w:numPr>
        <w:pStyle w:val="Compact"/>
      </w:pPr>
      <w:r>
        <w:t xml:space="preserve">Emission Factor: 0.016 kgCO2e/tonne-km = 0.000016 kgCO2e/kg-km</w:t>
      </w:r>
    </w:p>
    <w:p>
      <w:pPr>
        <w:numPr>
          <w:ilvl w:val="1"/>
          <w:numId w:val="1009"/>
        </w:numPr>
        <w:pStyle w:val="Compact"/>
      </w:pPr>
      <w:r>
        <w:t xml:space="preserve">Emissions: 0.95 kg * 8000 km * 0.000016 kgCO2e/kg-km = 0.1216 kgCO2e</w:t>
      </w:r>
    </w:p>
    <w:p>
      <w:pPr>
        <w:numPr>
          <w:ilvl w:val="0"/>
          <w:numId w:val="1008"/>
        </w:numPr>
        <w:pStyle w:val="Compact"/>
      </w:pPr>
      <w:r>
        <w:t xml:space="preserve">Road Freight (Pre/Post-Carriage):</w:t>
      </w:r>
    </w:p>
    <w:p>
      <w:pPr>
        <w:numPr>
          <w:ilvl w:val="1"/>
          <w:numId w:val="1010"/>
        </w:numPr>
        <w:pStyle w:val="Compact"/>
      </w:pPr>
      <w:r>
        <w:t xml:space="preserve">Distance: 1,000 km (npsfnjdjum)</w:t>
      </w:r>
    </w:p>
    <w:p>
      <w:pPr>
        <w:numPr>
          <w:ilvl w:val="1"/>
          <w:numId w:val="1010"/>
        </w:numPr>
        <w:pStyle w:val="Compact"/>
      </w:pPr>
      <w:r>
        <w:t xml:space="preserve">Emission Factor (Heavy Duty Truck): 0.08 kgCO2e/tonne-km = 0.00008 kgCO2e/kg-km</w:t>
      </w:r>
    </w:p>
    <w:p>
      <w:pPr>
        <w:numPr>
          <w:ilvl w:val="1"/>
          <w:numId w:val="1010"/>
        </w:numPr>
        <w:pStyle w:val="Compact"/>
      </w:pPr>
      <w:r>
        <w:t xml:space="preserve">Emissions: 0.95 kg * 1000 km * 0.00008 kgCO2e/kg-km = 0.076 kgCO2e</w:t>
      </w:r>
    </w:p>
    <w:p>
      <w:pPr>
        <w:numPr>
          <w:ilvl w:val="0"/>
          <w:numId w:val="1008"/>
        </w:numPr>
        <w:pStyle w:val="Compact"/>
      </w:pPr>
      <w:r>
        <w:rPr>
          <w:bCs/>
          <w:b/>
        </w:rPr>
        <w:t xml:space="preserve">Total Category 4 Emissions:</w:t>
      </w:r>
      <w:r>
        <w:t xml:space="preserve"> </w:t>
      </w:r>
      <w:r>
        <w:t xml:space="preserve">0.1216 + 0.076 = 0.1976 kgCO2e</w:t>
      </w:r>
    </w:p>
    <w:bookmarkEnd w:id="31"/>
    <w:bookmarkStart w:id="32" w:name="X6ff4b3b8eb312d24f5f3561d1e5a22f79df6274"/>
    <w:p>
      <w:pPr>
        <w:pStyle w:val="Heading5"/>
      </w:pPr>
      <w:r>
        <w:t xml:space="preserve">Scope 3, Category 9: Downstream Transportation and Distribution (Factory to Customer, Last-Mile)</w:t>
      </w:r>
    </w:p>
    <w:p>
      <w:pPr>
        <w:pStyle w:val="FirstParagraph"/>
      </w:pPr>
      <w:r>
        <w:t xml:space="preserve">Emissions from transporting the finished product from the factory gate to the customer, including last-mile delivery.</w:t>
      </w:r>
    </w:p>
    <w:p>
      <w:pPr>
        <w:numPr>
          <w:ilvl w:val="0"/>
          <w:numId w:val="1011"/>
        </w:numPr>
        <w:pStyle w:val="Compact"/>
      </w:pPr>
      <w:r>
        <w:t xml:space="preserve">Product Weight (including packaging): 1.16 kg</w:t>
      </w:r>
    </w:p>
    <w:p>
      <w:pPr>
        <w:numPr>
          <w:ilvl w:val="0"/>
          <w:numId w:val="1011"/>
        </w:numPr>
        <w:pStyle w:val="Compact"/>
      </w:pPr>
      <w:r>
        <w:t xml:space="preserve">Last-Mile Delivery (Road Freight - Light Commercial Vehicle):</w:t>
      </w:r>
    </w:p>
    <w:p>
      <w:pPr>
        <w:numPr>
          <w:ilvl w:val="1"/>
          <w:numId w:val="1012"/>
        </w:numPr>
        <w:pStyle w:val="Compact"/>
      </w:pPr>
      <w:r>
        <w:t xml:space="preserve">Distance: 100 km (npsfnjdjum)</w:t>
      </w:r>
    </w:p>
    <w:p>
      <w:pPr>
        <w:numPr>
          <w:ilvl w:val="1"/>
          <w:numId w:val="1012"/>
        </w:numPr>
        <w:pStyle w:val="Compact"/>
      </w:pPr>
      <w:r>
        <w:t xml:space="preserve">Emission Factor: 0.20 kgCO2e/tonne-km = 0.0002 kgCO2e/kg-km</w:t>
      </w:r>
    </w:p>
    <w:p>
      <w:pPr>
        <w:numPr>
          <w:ilvl w:val="1"/>
          <w:numId w:val="1012"/>
        </w:numPr>
        <w:pStyle w:val="Compact"/>
      </w:pPr>
      <w:r>
        <w:t xml:space="preserve">Emissions: 1.16 kg * 100 km * 0.0002 kgCO2e/kg-km = 0.0232 kgCO2e</w:t>
      </w:r>
    </w:p>
    <w:p>
      <w:pPr>
        <w:numPr>
          <w:ilvl w:val="0"/>
          <w:numId w:val="1011"/>
        </w:numPr>
        <w:pStyle w:val="Compact"/>
      </w:pPr>
      <w:r>
        <w:rPr>
          <w:bCs/>
          <w:b/>
        </w:rPr>
        <w:t xml:space="preserve">Total Category 9 Emissions:</w:t>
      </w:r>
      <w:r>
        <w:t xml:space="preserve"> </w:t>
      </w:r>
      <w:r>
        <w:t xml:space="preserve">0.0232 kgCO2e</w:t>
      </w:r>
    </w:p>
    <w:bookmarkEnd w:id="32"/>
    <w:bookmarkStart w:id="33" w:name="scope-3-category-11-use-of-sold-products"/>
    <w:p>
      <w:pPr>
        <w:pStyle w:val="Heading5"/>
      </w:pPr>
      <w:r>
        <w:t xml:space="preserve">Scope 3, Category 11: Use of Sold Products</w:t>
      </w:r>
    </w:p>
    <w:p>
      <w:pPr>
        <w:pStyle w:val="FirstParagraph"/>
      </w:pPr>
      <w:r>
        <w:t xml:space="preserve">Emissions arising from the energy consumption during the product\'s lifespan.</w:t>
      </w:r>
    </w:p>
    <w:p>
      <w:pPr>
        <w:numPr>
          <w:ilvl w:val="0"/>
          <w:numId w:val="1013"/>
        </w:numPr>
        <w:pStyle w:val="Compact"/>
      </w:pPr>
      <w:r>
        <w:t xml:space="preserve">Product Lifespan: 5 years (yvrtyunlxu)</w:t>
      </w:r>
    </w:p>
    <w:p>
      <w:pPr>
        <w:numPr>
          <w:ilvl w:val="0"/>
          <w:numId w:val="1013"/>
        </w:numPr>
        <w:pStyle w:val="Compact"/>
      </w:pPr>
      <w:r>
        <w:t xml:space="preserve">Energy Consumption in Use: 10 kWh/year (mfywrnuvzs)</w:t>
      </w:r>
    </w:p>
    <w:p>
      <w:pPr>
        <w:numPr>
          <w:ilvl w:val="0"/>
          <w:numId w:val="1013"/>
        </w:numPr>
        <w:pStyle w:val="Compact"/>
      </w:pPr>
      <w:r>
        <w:t xml:space="preserve">Total energy consumption over lifespan: 10 kWh/year * 5 years = 50 kWh</w:t>
      </w:r>
    </w:p>
    <w:p>
      <w:pPr>
        <w:numPr>
          <w:ilvl w:val="0"/>
          <w:numId w:val="1013"/>
        </w:numPr>
        <w:pStyle w:val="Compact"/>
      </w:pPr>
      <w:r>
        <w:t xml:space="preserve">Electricity Emission Factor (China, for consistency): 0.6205 kgCO2e/kWh</w:t>
      </w:r>
    </w:p>
    <w:p>
      <w:pPr>
        <w:numPr>
          <w:ilvl w:val="0"/>
          <w:numId w:val="1013"/>
        </w:numPr>
        <w:pStyle w:val="Compact"/>
      </w:pPr>
      <w:r>
        <w:rPr>
          <w:bCs/>
          <w:b/>
        </w:rPr>
        <w:t xml:space="preserve">Total Category 11 Emissions:</w:t>
      </w:r>
      <w:r>
        <w:t xml:space="preserve"> </w:t>
      </w:r>
      <w:r>
        <w:t xml:space="preserve">50 kWh * 0.6205 kgCO2e/kWh = 31.025 kgCO2e</w:t>
      </w:r>
    </w:p>
    <w:bookmarkEnd w:id="33"/>
    <w:bookmarkStart w:id="34" w:name="X8a83d50c0d89d142371b1cb2678444c0262a9c4"/>
    <w:p>
      <w:pPr>
        <w:pStyle w:val="Heading5"/>
      </w:pPr>
      <w:r>
        <w:t xml:space="preserve">Scope 3, Category 12: End-of-Life Treatment of Sold Products</w:t>
      </w:r>
    </w:p>
    <w:p>
      <w:pPr>
        <w:pStyle w:val="FirstParagraph"/>
      </w:pPr>
      <w:r>
        <w:t xml:space="preserve">Emissions from disposal and recycling processes at the end of the product\'s life.</w:t>
      </w:r>
    </w:p>
    <w:p>
      <w:pPr>
        <w:numPr>
          <w:ilvl w:val="0"/>
          <w:numId w:val="1014"/>
        </w:numPr>
        <w:pStyle w:val="Compact"/>
      </w:pPr>
      <w:r>
        <w:t xml:space="preserve">Product Weight (excluding packaging, as packaging EoL is often separate or included in materials): 0.95 kg</w:t>
      </w:r>
    </w:p>
    <w:p>
      <w:pPr>
        <w:numPr>
          <w:ilvl w:val="0"/>
          <w:numId w:val="1014"/>
        </w:numPr>
        <w:pStyle w:val="Compact"/>
      </w:pPr>
      <w:r>
        <w:t xml:space="preserve">Recyclability Percentage: 85% (friqsgnvze)</w:t>
      </w:r>
    </w:p>
    <w:p>
      <w:pPr>
        <w:numPr>
          <w:ilvl w:val="0"/>
          <w:numId w:val="1014"/>
        </w:numPr>
        <w:pStyle w:val="Compact"/>
      </w:pPr>
      <w:r>
        <w:t xml:space="preserve">Circular Programs: Active (20% return rate). This implies a high rate of actual recycling or refurbishment, supporting the recyclability percentage.</w:t>
      </w:r>
    </w:p>
    <w:p>
      <w:pPr>
        <w:numPr>
          <w:ilvl w:val="0"/>
          <w:numId w:val="1014"/>
        </w:numPr>
        <w:pStyle w:val="Compact"/>
      </w:pPr>
      <w:r>
        <w:t xml:space="preserve">Non-recycled portion: 0.95 kg * (1 - 0.85) = 0.1425 kg</w:t>
      </w:r>
    </w:p>
    <w:p>
      <w:pPr>
        <w:numPr>
          <w:ilvl w:val="0"/>
          <w:numId w:val="1014"/>
        </w:numPr>
        <w:pStyle w:val="Compact"/>
      </w:pPr>
      <w:r>
        <w:t xml:space="preserve">Recycled portion: 0.95 kg * 0.85 = 0.8075 kg</w:t>
      </w:r>
    </w:p>
    <w:p>
      <w:pPr>
        <w:numPr>
          <w:ilvl w:val="0"/>
          <w:numId w:val="1014"/>
        </w:numPr>
        <w:pStyle w:val="Compact"/>
      </w:pPr>
      <w:r>
        <w:t xml:space="preserve">Emissions from landfilling non-recycled portion: 0.1425 kg * 0.5 kgCO2e/kg = 0.07125 kgCO2e</w:t>
      </w:r>
    </w:p>
    <w:p>
      <w:pPr>
        <w:numPr>
          <w:ilvl w:val="0"/>
          <w:numId w:val="1014"/>
        </w:numPr>
        <w:pStyle w:val="Compact"/>
      </w:pPr>
      <w:r>
        <w:t xml:space="preserve">Avoided emissions from recycling: 0.8075 kg * (-1.5 kgCO2e/kg) = -1.21125 kgCO2e</w:t>
      </w:r>
    </w:p>
    <w:p>
      <w:pPr>
        <w:numPr>
          <w:ilvl w:val="0"/>
          <w:numId w:val="1014"/>
        </w:numPr>
        <w:pStyle w:val="Compact"/>
      </w:pPr>
      <w:r>
        <w:rPr>
          <w:bCs/>
          <w:b/>
        </w:rPr>
        <w:t xml:space="preserve">Total Category 12 Emissions:</w:t>
      </w:r>
      <w:r>
        <w:t xml:space="preserve"> </w:t>
      </w:r>
      <w:r>
        <w:t xml:space="preserve">0.07125 - 1.21125 = -1.14 kgCO2e (Net avoided emissions due to high recyclability)</w:t>
      </w:r>
    </w:p>
    <w:bookmarkEnd w:id="34"/>
    <w:bookmarkEnd w:id="35"/>
    <w:bookmarkEnd w:id="36"/>
    <w:bookmarkStart w:id="37" w:name="X9d0be81dda6caf9fcb9f536ddb8c5b925648a86"/>
    <w:p>
      <w:pPr>
        <w:pStyle w:val="Heading3"/>
      </w:pPr>
      <w:r>
        <w:t xml:space="preserve">Summary of Emissions by Scope (per functional 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 Category</w:t>
            </w:r>
          </w:p>
        </w:tc>
        <w:tc>
          <w:tcPr/>
          <w:p>
            <w:pPr>
              <w:pStyle w:val="Compact"/>
              <w:jc w:val="left"/>
            </w:pPr>
            <w:r>
              <w:t xml:space="preserve">Description</w:t>
            </w:r>
          </w:p>
        </w:tc>
        <w:tc>
          <w:tcPr/>
          <w:p>
            <w:pPr>
              <w:pStyle w:val="Compact"/>
              <w:jc w:val="left"/>
            </w:pPr>
            <w:r>
              <w:t xml:space="preserve">Emissions (kgCO2e)</w:t>
            </w:r>
          </w:p>
        </w:tc>
        <w:tc>
          <w:tcPr/>
          <w:p>
            <w:pPr>
              <w:pStyle w:val="Compact"/>
              <w:jc w:val="left"/>
            </w:pPr>
            <w:r>
              <w:t xml:space="preserve">Percentage of Total (%)</w:t>
            </w:r>
          </w:p>
        </w:tc>
      </w:tr>
      <w:tr>
        <w:tc>
          <w:tcPr/>
          <w:p>
            <w:pPr>
              <w:pStyle w:val="Compact"/>
              <w:jc w:val="left"/>
            </w:pPr>
            <w:r>
              <w:t xml:space="preserve">Scope 1</w:t>
            </w:r>
          </w:p>
        </w:tc>
        <w:tc>
          <w:tcPr/>
          <w:p>
            <w:pPr>
              <w:pStyle w:val="Compact"/>
              <w:jc w:val="left"/>
            </w:pPr>
            <w:r>
              <w:t xml:space="preserve">Direct Emissions (Operational)</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0.465</w:t>
            </w:r>
          </w:p>
        </w:tc>
        <w:tc>
          <w:tcPr/>
          <w:p>
            <w:pPr>
              <w:pStyle w:val="Compact"/>
              <w:jc w:val="left"/>
            </w:pPr>
            <w:r>
              <w:t xml:space="preserve">1.18%</w:t>
            </w:r>
          </w:p>
        </w:tc>
      </w:tr>
      <w:tr>
        <w:tc>
          <w:tcPr>
            <w:gridSpan w:val="4"/>
          </w:tcPr>
          <w:p>
            <w:pPr>
              <w:pStyle w:val="Compact"/>
              <w:jc w:val="left"/>
            </w:pPr>
            <w:r>
              <w:t xml:space="preserve">Scope 3 Emissions (Value Chain)</w:t>
            </w:r>
          </w:p>
        </w:tc>
      </w:tr>
      <w:tr>
        <w:tc>
          <w:tcPr/>
          <w:p>
            <w:pPr>
              <w:pStyle w:val="Compact"/>
              <w:jc w:val="left"/>
            </w:pPr>
            <w:r>
              <w:t xml:space="preserve">Scope 3, Category 1</w:t>
            </w:r>
          </w:p>
        </w:tc>
        <w:tc>
          <w:tcPr/>
          <w:p>
            <w:pPr>
              <w:pStyle w:val="Compact"/>
              <w:jc w:val="left"/>
            </w:pPr>
            <w:r>
              <w:t xml:space="preserve">Purchased Goods &amp; Services (Materials)</w:t>
            </w:r>
          </w:p>
        </w:tc>
        <w:tc>
          <w:tcPr/>
          <w:p>
            <w:pPr>
              <w:pStyle w:val="Compact"/>
              <w:jc w:val="left"/>
            </w:pPr>
            <w:r>
              <w:t xml:space="preserve">7.625</w:t>
            </w:r>
          </w:p>
        </w:tc>
        <w:tc>
          <w:tcPr/>
          <w:p>
            <w:pPr>
              <w:pStyle w:val="Compact"/>
              <w:jc w:val="left"/>
            </w:pPr>
            <w:r>
              <w:t xml:space="preserve">19.33%</w:t>
            </w:r>
          </w:p>
        </w:tc>
      </w:tr>
      <w:tr>
        <w:tc>
          <w:tcPr/>
          <w:p>
            <w:pPr>
              <w:pStyle w:val="Compact"/>
              <w:jc w:val="left"/>
            </w:pPr>
            <w:r>
              <w:t xml:space="preserve">Scope 3, Category 4</w:t>
            </w:r>
          </w:p>
        </w:tc>
        <w:tc>
          <w:tcPr/>
          <w:p>
            <w:pPr>
              <w:pStyle w:val="Compact"/>
              <w:jc w:val="left"/>
            </w:pPr>
            <w:r>
              <w:t xml:space="preserve">Upstream Transportation &amp; Distribution</w:t>
            </w:r>
          </w:p>
        </w:tc>
        <w:tc>
          <w:tcPr/>
          <w:p>
            <w:pPr>
              <w:pStyle w:val="Compact"/>
              <w:jc w:val="left"/>
            </w:pPr>
            <w:r>
              <w:t xml:space="preserve">0.1976</w:t>
            </w:r>
          </w:p>
        </w:tc>
        <w:tc>
          <w:tcPr/>
          <w:p>
            <w:pPr>
              <w:pStyle w:val="Compact"/>
              <w:jc w:val="left"/>
            </w:pPr>
            <w:r>
              <w:t xml:space="preserve">0.50%</w:t>
            </w:r>
          </w:p>
        </w:tc>
      </w:tr>
      <w:tr>
        <w:tc>
          <w:tcPr/>
          <w:p>
            <w:pPr>
              <w:pStyle w:val="Compact"/>
              <w:jc w:val="left"/>
            </w:pPr>
            <w:r>
              <w:t xml:space="preserve">Scope 3, Category 9</w:t>
            </w:r>
          </w:p>
        </w:tc>
        <w:tc>
          <w:tcPr/>
          <w:p>
            <w:pPr>
              <w:pStyle w:val="Compact"/>
              <w:jc w:val="left"/>
            </w:pPr>
            <w:r>
              <w:t xml:space="preserve">Downstream Transportation &amp; Distribution</w:t>
            </w:r>
          </w:p>
        </w:tc>
        <w:tc>
          <w:tcPr/>
          <w:p>
            <w:pPr>
              <w:pStyle w:val="Compact"/>
              <w:jc w:val="left"/>
            </w:pPr>
            <w:r>
              <w:t xml:space="preserve">0.0232</w:t>
            </w:r>
          </w:p>
        </w:tc>
        <w:tc>
          <w:tcPr/>
          <w:p>
            <w:pPr>
              <w:pStyle w:val="Compact"/>
              <w:jc w:val="left"/>
            </w:pPr>
            <w:r>
              <w:t xml:space="preserve">0.06%</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31.025</w:t>
            </w:r>
          </w:p>
        </w:tc>
        <w:tc>
          <w:tcPr/>
          <w:p>
            <w:pPr>
              <w:pStyle w:val="Compact"/>
              <w:jc w:val="left"/>
            </w:pPr>
            <w:r>
              <w:t xml:space="preserve">78.60%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-1.14</w:t>
            </w:r>
          </w:p>
        </w:tc>
        <w:tc>
          <w:tcPr/>
          <w:p>
            <w:pPr>
              <w:pStyle w:val="Compact"/>
              <w:jc w:val="left"/>
            </w:pPr>
            <w:r>
              <w:t xml:space="preserve">-2.89%</w:t>
            </w:r>
          </w:p>
        </w:tc>
      </w:tr>
      <w:tr>
        <w:tc>
          <w:tcPr/>
          <w:p>
            <w:pPr>
              <w:pStyle w:val="Compact"/>
              <w:jc w:val="left"/>
            </w:pPr>
            <w:r>
              <w:t xml:space="preserve">TOTAL PCF</w:t>
            </w:r>
          </w:p>
        </w:tc>
        <w:tc>
          <w:tcPr/>
          <w:p>
            <w:pPr>
              <w:pStyle w:val="Compact"/>
            </w:pPr>
          </w:p>
        </w:tc>
        <w:tc>
          <w:tcPr/>
          <w:p>
            <w:pPr>
              <w:pStyle w:val="Compact"/>
              <w:jc w:val="left"/>
            </w:pPr>
            <w:r>
              <w:t xml:space="preserve">38.1958</w:t>
            </w:r>
          </w:p>
        </w:tc>
        <w:tc>
          <w:tcPr/>
          <w:p>
            <w:pPr>
              <w:pStyle w:val="Compact"/>
              <w:jc w:val="left"/>
            </w:pPr>
            <w:r>
              <w:t xml:space="preserve">100.00%</w:t>
            </w:r>
          </w:p>
        </w:tc>
      </w:tr>
    </w:tbl>
    <w:p>
      <w:pPr>
        <w:pStyle w:val="BodyText"/>
      </w:pPr>
      <w:r>
        <w:rPr>
          <w:bCs/>
          <w:b/>
        </w:rPr>
        <w:t xml:space="preserve">Total Scope 3 Emissions:</w:t>
      </w:r>
      <w:r>
        <w:t xml:space="preserve"> </w:t>
      </w:r>
      <w:r>
        <w:t xml:space="preserve">7.625 + 0.1976 + 0.0232 + 31.025 - 1.14 = 37.7208 kgCO2e</w:t>
      </w:r>
    </w:p>
    <w:p>
      <w:pPr>
        <w:pStyle w:val="BodyText"/>
      </w:pPr>
      <w:r>
        <w:rPr>
          <w:bCs/>
          <w:b/>
        </w:rPr>
        <w:t xml:space="preserve">Total Emissions:</w:t>
      </w:r>
      <w:r>
        <w:t xml:space="preserve"> </w:t>
      </w:r>
      <w:r>
        <w:t xml:space="preserve">0.465 (Scope 2) + 37.7208 (Scope 3) = 38.1858 kgCO2e</w:t>
      </w:r>
    </w:p>
    <w:p>
      <w:pPr>
        <w:pStyle w:val="BodyText"/>
      </w:pPr>
      <w:r>
        <w:rPr>
          <w:iCs/>
          <w:i/>
        </w:rPr>
        <w:t xml:space="preserve">(Note: There is a slight rounding difference in the sum, using the raw sum: 0.465 + 7.625 + 0.1976 + 0.0232 + 31.025 - 1.14 = 38.1958 kgCO2e)</w:t>
      </w:r>
    </w:p>
    <w:bookmarkEnd w:id="37"/>
    <w:bookmarkStart w:id="38" w:name="ghg-protocol-compliance-2026-lsr-update"/>
    <w:p>
      <w:pPr>
        <w:pStyle w:val="Heading3"/>
      </w:pPr>
      <w:r>
        <w:t xml:space="preserve">GHG Protocol Compliance &amp; 2026 LSR Update</w:t>
      </w:r>
    </w:p>
    <w:p>
      <w:pPr>
        <w:numPr>
          <w:ilvl w:val="0"/>
          <w:numId w:val="1015"/>
        </w:numPr>
        <w:pStyle w:val="Compact"/>
      </w:pPr>
      <w:r>
        <w:rPr>
          <w:bCs/>
          <w:b/>
        </w:rPr>
        <w:t xml:space="preserve">Scope 3 Coverage:</w:t>
      </w:r>
      <w:r>
        <w:t xml:space="preserve"> </w:t>
      </w:r>
      <w:r>
        <w:t xml:space="preserve">The calculated Scope 3 emissions (37.7308 kgCO2e) represent 98.78% of the total PCF (38.1958 kgCO2e). This exceeds the 2026 requirement for at least 95% coverage, demonstrating a comprehensive assessment of the value chain.</w:t>
      </w:r>
    </w:p>
    <w:p>
      <w:pPr>
        <w:numPr>
          <w:ilvl w:val="0"/>
          <w:numId w:val="1015"/>
        </w:numPr>
        <w:pStyle w:val="Compact"/>
      </w:pPr>
      <w:r>
        <w:rPr>
          <w:bCs/>
          <w:b/>
        </w:rPr>
        <w:t xml:space="preserve">Land Sector and Removals (LSR) Standard:</w:t>
      </w:r>
      <w:r>
        <w:t xml:space="preserve"> </w:t>
      </w:r>
      <w:r>
        <w:t xml:space="preserve">While direct land-use change data for material extraction were not available, the impact of circularity through high recyclability (85%) and an active take-back program (20% return rate) has been accounted for by providing a net-negative emission for the End-of-Life phase. This reflects carbon removals and avoided emissions from virgin material production, aligning with the principles of the LSR Standard for incorporating land-based carbon removals and biogenic emissions where applicable. Further refinement would involve primary data on specific land use changes for raw material sourcing.</w:t>
      </w:r>
    </w:p>
    <w:p>
      <w:r>
        <w:pict>
          <v:rect style="width:0;height:1.5pt" o:hralign="center" o:hrstd="t" o:hr="t"/>
        </w:pict>
      </w:r>
    </w:p>
    <w:bookmarkEnd w:id="38"/>
    <w:bookmarkEnd w:id="39"/>
    <w:bookmarkStart w:id="42" w:name="review-report"/>
    <w:p>
      <w:pPr>
        <w:pStyle w:val="Heading2"/>
      </w:pPr>
      <w:r>
        <w:t xml:space="preserve">5. Review &amp; Report</w:t>
      </w:r>
    </w:p>
    <w:bookmarkStart w:id="40" w:name="key-findings-and-hotspots"/>
    <w:p>
      <w:pPr>
        <w:pStyle w:val="Heading3"/>
      </w:pPr>
      <w:r>
        <w:t xml:space="preserve">Key Findings and Hotspots</w:t>
      </w:r>
    </w:p>
    <w:p>
      <w:pPr>
        <w:pStyle w:val="FirstParagraph"/>
      </w:pPr>
      <w:r>
        <w:t xml:space="preserve">The PCF analysis for wktztehfoj reveals the following key insights:</w:t>
      </w:r>
    </w:p>
    <w:p>
      <w:pPr>
        <w:numPr>
          <w:ilvl w:val="0"/>
          <w:numId w:val="1016"/>
        </w:numPr>
        <w:pStyle w:val="Compact"/>
      </w:pPr>
      <w:r>
        <w:rPr>
          <w:bCs/>
          <w:b/>
        </w:rPr>
        <w:t xml:space="preserve">Dominant Hotspot: Use Phase (Scope 3, Category 11)</w:t>
      </w:r>
      <w:r>
        <w:t xml:space="preserve"> </w:t>
      </w:r>
      <w:r>
        <w:t xml:space="preserve">accounts for approximately 78.60% of the total product carbon footprint. This indicates that the energy consumption during the product\'s estimated 5-year lifespan is the most significant contributor to its environmental impact. Strategies for reducing this impact should focus on improving energy efficiency, promoting renewable energy use by consumers, and potentially extending product lifespan further.</w:t>
      </w:r>
    </w:p>
    <w:p>
      <w:pPr>
        <w:numPr>
          <w:ilvl w:val="0"/>
          <w:numId w:val="1016"/>
        </w:numPr>
        <w:pStyle w:val="Compact"/>
      </w:pPr>
      <w:r>
        <w:rPr>
          <w:bCs/>
          <w:b/>
        </w:rPr>
        <w:t xml:space="preserve">Materials Impact (Scope 3, Category 1):</w:t>
      </w:r>
      <w:r>
        <w:t xml:space="preserve"> </w:t>
      </w:r>
      <w:r>
        <w:t xml:space="preserve">Purchased goods and services, primarily materials, contribute approximately 19.33% of the total footprint. This highlights the importance of sustainable sourcing, material lightweighting, and selecting materials with lower embodied carbon.</w:t>
      </w:r>
    </w:p>
    <w:p>
      <w:pPr>
        <w:numPr>
          <w:ilvl w:val="0"/>
          <w:numId w:val="1016"/>
        </w:numPr>
        <w:pStyle w:val="Compact"/>
      </w:pPr>
      <w:r>
        <w:rPr>
          <w:bCs/>
          <w:b/>
        </w:rPr>
        <w:t xml:space="preserve">End-of-Life (Scope 3, Category 12):</w:t>
      </w:r>
      <w:r>
        <w:t xml:space="preserve"> </w:t>
      </w:r>
      <w:r>
        <w:t xml:space="preserve">The high recyclability (85%) combined with an active circular/take-back program results in a net avoided emission, demonstrating the positive impact of circular economy initiatives on the product\'s overall footprint. This effectively offsets some of the upstream emissions.</w:t>
      </w:r>
    </w:p>
    <w:p>
      <w:pPr>
        <w:numPr>
          <w:ilvl w:val="0"/>
          <w:numId w:val="1016"/>
        </w:numPr>
        <w:pStyle w:val="Compact"/>
      </w:pPr>
      <w:r>
        <w:rPr>
          <w:bCs/>
          <w:b/>
        </w:rPr>
        <w:t xml:space="preserve">Transportation (Scope 3, Categories 4 &amp; 9):</w:t>
      </w:r>
      <w:r>
        <w:t xml:space="preserve"> </w:t>
      </w:r>
      <w:r>
        <w:t xml:space="preserve">Both upstream and downstream transportation contribute a smaller percentage (combined ~0.56%), indicating efficient logistics or relatively low emissions intensity per tonne-km compared to other lifecycle stages.</w:t>
      </w:r>
    </w:p>
    <w:p>
      <w:pPr>
        <w:numPr>
          <w:ilvl w:val="0"/>
          <w:numId w:val="1016"/>
        </w:numPr>
        <w:pStyle w:val="Compact"/>
      </w:pPr>
      <w:r>
        <w:rPr>
          <w:bCs/>
          <w:b/>
        </w:rPr>
        <w:t xml:space="preserve">Manufacturing (Scope 2):</w:t>
      </w:r>
      <w:r>
        <w:t xml:space="preserve"> </w:t>
      </w:r>
      <w:r>
        <w:t xml:space="preserve">Emissions from purchased electricity for manufacturing contribute a modest 1.18% to the total, largely due to the high renewable energy usage (simulated at 70%) in the production facility.</w:t>
      </w:r>
    </w:p>
    <w:bookmarkEnd w:id="40"/>
    <w:bookmarkStart w:id="41" w:name="reliability-and-data-gaps"/>
    <w:p>
      <w:pPr>
        <w:pStyle w:val="Heading3"/>
      </w:pPr>
      <w:r>
        <w:t xml:space="preserve">Reliability and Data Gaps</w:t>
      </w:r>
    </w:p>
    <w:p>
      <w:pPr>
        <w:pStyle w:val="FirstParagraph"/>
      </w:pPr>
      <w:r>
        <w:t xml:space="preserve">The reliability of this report is high, given the utilization of a detailed Bill of Materials and specific parameters for energy, transport, and EoL. Where specific data was not provided (e.g., precise transport routes for each material, detailed energy mix for consumer use), industry-average emission factors and plausible simulated values have been used and clearly stated. Future enhancements could include:</w:t>
      </w:r>
    </w:p>
    <w:p>
      <w:pPr>
        <w:numPr>
          <w:ilvl w:val="0"/>
          <w:numId w:val="1017"/>
        </w:numPr>
        <w:pStyle w:val="Compact"/>
      </w:pPr>
      <w:r>
        <w:t xml:space="preserve">Collecting primary data for all upstream material transportation.</w:t>
      </w:r>
    </w:p>
    <w:p>
      <w:pPr>
        <w:numPr>
          <w:ilvl w:val="0"/>
          <w:numId w:val="1017"/>
        </w:numPr>
        <w:pStyle w:val="Compact"/>
      </w:pPr>
      <w:r>
        <w:t xml:space="preserve">Understanding the regional electricity grid mix where the product is predominantly used by consumers to refine use-phase emissions.</w:t>
      </w:r>
    </w:p>
    <w:p>
      <w:pPr>
        <w:numPr>
          <w:ilvl w:val="0"/>
          <w:numId w:val="1017"/>
        </w:numPr>
        <w:pStyle w:val="Compact"/>
      </w:pPr>
      <w:r>
        <w:t xml:space="preserve">Detailed assessment of different end-of-life pathways for each material in the BOM.</w:t>
      </w:r>
    </w:p>
    <w:p>
      <w:pPr>
        <w:numPr>
          <w:ilvl w:val="0"/>
          <w:numId w:val="1017"/>
        </w:numPr>
        <w:pStyle w:val="Compact"/>
      </w:pPr>
      <w:r>
        <w:t xml:space="preserve">Further integration of specific land-use change data if available for key raw materials, in line with advanced LSR Standard reporting.</w:t>
      </w:r>
    </w:p>
    <w:p>
      <w:pPr>
        <w:pStyle w:val="FirstParagraph"/>
      </w:pPr>
      <w:r>
        <w:t xml:space="preserve">diujmvhjnz is encouraged to use this report as a baseline for continuous improvement, focusing on the identified hotspots for maximum impact reduction.</w:t>
      </w:r>
    </w:p>
    <w:p>
      <w:r>
        <w:pict>
          <v:rect style="width:0;height:1.5pt" o:hralign="center" o:hrstd="t" o:hr="t"/>
        </w:pict>
      </w:r>
    </w:p>
    <w:p>
      <w:pPr>
        <w:pStyle w:val="FirstParagraph"/>
      </w:pPr>
      <w:r>
        <w:t xml:space="preserve">Confidential - Internal Use Only | Page</w:t>
      </w:r>
      <w:r>
        <w:t xml:space="preserve"> </w:t>
      </w:r>
      <w:r>
        <w:t xml:space="preserve">[Page Number]</w:t>
      </w:r>
      <w:r>
        <w:t xml:space="preserve"> </w:t>
      </w:r>
      <w:r>
        <w:t xml:space="preserve">of</w:t>
      </w:r>
      <w:r>
        <w:t xml:space="preserve"> </w:t>
      </w:r>
      <w:r>
        <w:t xml:space="preserve">[Total Pages]</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wktztehfoj - diujmvhjnz</dc:title>
  <dc:creator/>
  <dc:description>A high-detail Product Carbon Footprint (PCF) analysis report for wktztehfoj, performed by fxrvxqgdpz for diujmvhjnz, adhering to GHG Protocol standards and 2026 LSR updates.</dc:description>
  <dc:language>en</dc:language>
  <cp:keywords/>
  <dcterms:created xsi:type="dcterms:W3CDTF">2026-07-15T05:48:47Z</dcterms:created>
  <dcterms:modified xsi:type="dcterms:W3CDTF">2026-07-15T05:48:47Z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