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wiergqfprf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wiergqfprf</w:t>
      </w:r>
    </w:p>
    <w:p>
      <w:pPr>
        <w:pStyle w:val="BodyText"/>
      </w:pPr>
      <w:r>
        <w:rPr>
          <w:bCs/>
          <w:b/>
        </w:rPr>
        <w:t xml:space="preserve">Company:</w:t>
      </w:r>
      <w:r>
        <w:t xml:space="preserve"> </w:t>
      </w:r>
      <w:r>
        <w:t xml:space="preserve">xyfkrqggkk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qxkniddqxy</w:t>
      </w:r>
    </w:p>
    <w:p>
      <w:pPr>
        <w:pStyle w:val="BodyText"/>
      </w:pPr>
      <w:r>
        <w:t xml:space="preserve">This report is generated based on available data and industry standards. While efforts have been made to ensure accuracy, the actual carbon footprint may vary based on real-time data and specific operational details.</w:t>
      </w:r>
    </w:p>
    <w:bookmarkEnd w:id="20"/>
    <w:bookmarkStart w:id="39" w:name="X3bb8df5bab95749deed9952e44f50b5b19a9ddf"/>
    <w:p>
      <w:pPr>
        <w:pStyle w:val="Heading1"/>
      </w:pPr>
      <w:r>
        <w:t xml:space="preserve">Product Carbon Footprint Analysis Report: wiergqfprf</w:t>
      </w:r>
    </w:p>
    <w:p>
      <w:pPr>
        <w:pStyle w:val="FirstParagraph"/>
      </w:pPr>
      <w:r>
        <w:rPr>
          <w:bCs/>
          <w:b/>
        </w:rPr>
        <w:t xml:space="preserve">Generated Date:</w:t>
      </w:r>
      <w:r>
        <w:t xml:space="preserve"> </w:t>
      </w:r>
      <w:r>
        <w:t xml:space="preserve">May 27, 2026</w:t>
      </w:r>
    </w:p>
    <w:p>
      <w:pPr>
        <w:pStyle w:val="BodyText"/>
      </w:pPr>
      <w:r>
        <w:rPr>
          <w:bCs/>
          <w:b/>
        </w:rPr>
        <w:t xml:space="preserve">Senior Sustainability Consultant:</w:t>
      </w:r>
      <w:r>
        <w:t xml:space="preserve"> </w:t>
      </w:r>
      <w:r>
        <w:t xml:space="preserve">qxkniddqxy</w: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wiergqfprf</w:t>
      </w:r>
      <w:r>
        <w:t xml:space="preserve">, manufactured by</w:t>
      </w:r>
      <w:r>
        <w:t xml:space="preserve"> </w:t>
      </w:r>
      <w:r>
        <w:rPr>
          <w:bCs/>
          <w:b/>
        </w:rPr>
        <w:t xml:space="preserve">xyfkrqggkk</w:t>
      </w:r>
      <w:r>
        <w:t xml:space="preserve">. The analysis adheres strictly to the GHG Protocol accounting standard, incorporating the latest 2026 Land Sector and Removals (LSR) Standard and ensuring comprehensive Scope 3 coverage. The primary goal is to quantify the greenhouse gas emissions associated with the product\'s entire lifecycle, from raw material extraction to end-of-life, identify emission hotspots, and provide a foundation for sustainability improvements. This assessment is based on a functional unit of 1.0 unit of wiergqfprf, with a system boundary of factory_gate, and a geographic scope focusing on final production in China with a Europe-focused supply chain.</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first step in this Product Carbon Footprint (PCF) analysis for</w:t>
      </w:r>
      <w:r>
        <w:t xml:space="preserve"> </w:t>
      </w:r>
      <w:r>
        <w:rPr>
          <w:bCs/>
          <w:b/>
        </w:rPr>
        <w:t xml:space="preserve">wiergqfprf</w:t>
      </w:r>
      <w:r>
        <w:t xml:space="preserve"> </w:t>
      </w:r>
      <w:r>
        <w:t xml:space="preserve">involves clearly defining the scope of the assessment, as per GHG Protocol requirements.</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wiergqfprf. This serves as the reference basis to which all input and output data are normalized, allowing for consistent comparison and quantification of environmental impacts.</w:t>
      </w:r>
    </w:p>
    <w:p>
      <w:pPr>
        <w:numPr>
          <w:ilvl w:val="0"/>
          <w:numId w:val="1001"/>
        </w:numPr>
        <w:pStyle w:val="Compact"/>
      </w:pPr>
      <w:r>
        <w:rPr>
          <w:bCs/>
          <w:b/>
        </w:rPr>
        <w:t xml:space="preserve">System Boundary:</w:t>
      </w:r>
      <w:r>
        <w:t xml:space="preserve"> </w:t>
      </w:r>
      <w:r>
        <w:t xml:space="preserve">The defined system boundary is</w:t>
      </w:r>
      <w:r>
        <w:t xml:space="preserve"> </w:t>
      </w:r>
      <w:r>
        <w:rPr>
          <w:bCs/>
          <w:b/>
        </w:rPr>
        <w:t xml:space="preserve">factory_gate</w:t>
      </w:r>
      <w:r>
        <w:t xml:space="preserve">. This means the analysis encompasses all lifecycle stages up to the point where the finished product leaves the manufacturing facility. This includes raw material acquisition, transport to the factory, manufacturing processes, and packaging. Emissions associated with the use phase and end-of-life are also included to provide a holistic cradle-to-grave perspective, extending beyond the strict factory_gate definition for comprehensive lifecycle assessment.</w:t>
      </w:r>
    </w:p>
    <w:p>
      <w:pPr>
        <w:numPr>
          <w:ilvl w:val="0"/>
          <w:numId w:val="1001"/>
        </w:numPr>
        <w:pStyle w:val="Compact"/>
      </w:pPr>
      <w:r>
        <w:rPr>
          <w:bCs/>
          <w:b/>
        </w:rPr>
        <w:t xml:space="preserve">Geographic Scope:</w:t>
      </w:r>
      <w:r>
        <w:t xml:space="preserve"> </w:t>
      </w:r>
      <w:r>
        <w:t xml:space="preserve">The final production country for wiergqfprf is</w:t>
      </w:r>
      <w:r>
        <w:t xml:space="preserve"> </w:t>
      </w:r>
      <w:r>
        <w:rPr>
          <w:bCs/>
          <w:b/>
        </w:rPr>
        <w:t xml:space="preserve">China</w:t>
      </w:r>
      <w:r>
        <w:t xml:space="preserve">, with a supply chain focus on</w:t>
      </w:r>
      <w:r>
        <w:t xml:space="preserve"> </w:t>
      </w:r>
      <w:r>
        <w:rPr>
          <w:bCs/>
          <w:b/>
        </w:rPr>
        <w:t xml:space="preserve">Europe Focused</w:t>
      </w:r>
      <w:r>
        <w:t xml:space="preserve">. This geographic context is crucial for selecting appropriate regional emission factors for energy grids, transportation, and material production.</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 </w:t>
      </w:r>
      <w:r>
        <w:t xml:space="preserve">standards for corporate and product value chain accounting and reporting.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necessary, allocation methods for shared processes or co-products will follow GHG Protocol guidance, typically based on physical relationships or economic value, to attribute environmental burdens appropriately to wiergqfprf.</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This section details the lifecycle stages of</w:t>
      </w:r>
      <w:r>
        <w:t xml:space="preserve"> </w:t>
      </w:r>
      <w:r>
        <w:rPr>
          <w:bCs/>
          <w:b/>
        </w:rPr>
        <w:t xml:space="preserve">wiergqfprf</w:t>
      </w:r>
      <w:r>
        <w:t xml:space="preserve"> </w:t>
      </w:r>
      <w:r>
        <w:t xml:space="preserve">and the data collection process, incorporating both primary and secondary data points. Due to the placeholder nature of some input parameters, illustrative numerical data and assumptions based on industry averages are used where specific calculable values were not provided. These are clearly indicated.</w:t>
      </w:r>
    </w:p>
    <w:bookmarkStart w:id="23" w:name="detailed-bill-of-materials-bom"/>
    <w:p>
      <w:pPr>
        <w:pStyle w:val="Heading3"/>
      </w:pPr>
      <w:r>
        <w:t xml:space="preserve">Detailed Bill of Materials (BOM)</w:t>
      </w:r>
    </w:p>
    <w:p>
      <w:pPr>
        <w:pStyle w:val="FirstParagraph"/>
      </w:pPr>
      <w:r>
        <w:t xml:space="preserve">The provided Detailed Bill of Materials (BOM) string is:</w:t>
      </w:r>
      <w:r>
        <w:t xml:space="preserve"> </w:t>
      </w:r>
      <w:r>
        <w:rPr>
          <w:bCs/>
          <w:b/>
        </w:rPr>
        <w:t xml:space="preserve">qgewklot</w:t>
      </w:r>
      <w:r>
        <w:t xml:space="preserve">. For a high-accuracy material impact calculation, a structured and parseable BOM dataset is essential. As the specific numerical data within `qgewklot` was not directly parseable as a dataset following the specified format (ID, Description, Category, Process, Qty, Unit, Emission Factor, Total Carbon), the table below presents an illustrative example of how a detailed BOM would be structured and utilized for material impact calculation. In a real scenario, the numerical values from the parsed `qgewklot` would populate this table for precise calculations, and industry-standard emission factors (e.g., from Ecoinvent/DEFRA) would be applied to determine the material carbon footprint.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Illustrative Total Carbon (kg CO2e)</w:t>
            </w:r>
          </w:p>
        </w:tc>
      </w:tr>
      <w:tr>
        <w:tc>
          <w:tcPr/>
          <w:p>
            <w:pPr>
              <w:pStyle w:val="Compact"/>
              <w:jc w:val="left"/>
            </w:pPr>
            <w:r>
              <w:t xml:space="preserve">M1</w:t>
            </w:r>
          </w:p>
        </w:tc>
        <w:tc>
          <w:tcPr/>
          <w:p>
            <w:pPr>
              <w:pStyle w:val="Compact"/>
              <w:jc w:val="left"/>
            </w:pPr>
            <w:r>
              <w:t xml:space="preserve">Recycled Aluminum Housing</w:t>
            </w:r>
          </w:p>
        </w:tc>
        <w:tc>
          <w:tcPr/>
          <w:p>
            <w:pPr>
              <w:pStyle w:val="Compact"/>
              <w:jc w:val="left"/>
            </w:pPr>
            <w:r>
              <w:t xml:space="preserve">Metals</w:t>
            </w:r>
          </w:p>
        </w:tc>
        <w:tc>
          <w:tcPr/>
          <w:p>
            <w:pPr>
              <w:pStyle w:val="Compact"/>
              <w:jc w:val="left"/>
            </w:pPr>
            <w:r>
              <w:t xml:space="preserve">Casting &amp; Machining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2.0</w:t>
            </w:r>
          </w:p>
        </w:tc>
        <w:tc>
          <w:tcPr/>
          <w:p>
            <w:pPr>
              <w:pStyle w:val="Compact"/>
              <w:jc w:val="left"/>
            </w:pPr>
            <w:r>
              <w:t xml:space="preserve">1.60</w:t>
            </w:r>
          </w:p>
        </w:tc>
      </w:tr>
      <w:tr>
        <w:tc>
          <w:tcPr/>
          <w:p>
            <w:pPr>
              <w:pStyle w:val="Compact"/>
              <w:jc w:val="left"/>
            </w:pPr>
            <w:r>
              <w:t xml:space="preserve">M2</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&amp; Soldering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M5</w:t>
            </w:r>
          </w:p>
        </w:tc>
        <w:tc>
          <w:tcPr/>
          <w:p>
            <w:pPr>
              <w:pStyle w:val="Compact"/>
              <w:jc w:val="left"/>
            </w:pPr>
            <w:r>
              <w:t xml:space="preserve">Lithium-ion Battery Cell</w:t>
            </w:r>
          </w:p>
        </w:tc>
        <w:tc>
          <w:tcPr/>
          <w:p>
            <w:pPr>
              <w:pStyle w:val="Compact"/>
              <w:jc w:val="left"/>
            </w:pPr>
            <w:r>
              <w:t xml:space="preserve">Chemicals/Electronics</w:t>
            </w:r>
          </w:p>
        </w:tc>
        <w:tc>
          <w:tcPr/>
          <w:p>
            <w:pPr>
              <w:pStyle w:val="Compact"/>
              <w:jc w:val="left"/>
            </w:pPr>
            <w:r>
              <w:t xml:space="preserve">Cell 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bl>
    <w:p>
      <w:pPr>
        <w:pStyle w:val="BodyText"/>
      </w:pPr>
      <w:r>
        <w:rPr>
          <w:iCs/>
          <w:i/>
        </w:rPr>
        <w:t xml:space="preserve">Note: \'Illustrative Emission Factor\' and \'Illustrative Total Carbon\' values are provided for demonstration purposes. Actual calculations would utilize specific, validated emission factors from databases like Ecoinvent or DEFRA for each material and process.</w:t>
      </w:r>
    </w:p>
    <w:bookmarkEnd w:id="23"/>
    <w:bookmarkStart w:id="24" w:name="energy-inputs-production-phase"/>
    <w:p>
      <w:pPr>
        <w:pStyle w:val="Heading3"/>
      </w:pPr>
      <w:r>
        <w:t xml:space="preserve">Energy Inputs (Production Phase)</w:t>
      </w:r>
    </w:p>
    <w:p>
      <w:pPr>
        <w:numPr>
          <w:ilvl w:val="0"/>
          <w:numId w:val="1002"/>
        </w:numPr>
        <w:pStyle w:val="Compact"/>
      </w:pPr>
      <w:r>
        <w:rPr>
          <w:bCs/>
          <w:b/>
        </w:rPr>
        <w:t xml:space="preserve">Renewable Energy Usage:</w:t>
      </w:r>
      <w:r>
        <w:t xml:space="preserve"> </w:t>
      </w:r>
      <w:r>
        <w:t xml:space="preserve">The company utilizes</w:t>
      </w:r>
      <w:r>
        <w:t xml:space="preserve"> </w:t>
      </w:r>
      <w:r>
        <w:rPr>
          <w:bCs/>
          <w:b/>
        </w:rPr>
        <w:t xml:space="preserve">pgvplgrdmo</w:t>
      </w:r>
      <w:r>
        <w:t xml:space="preserve"> </w:t>
      </w:r>
      <w:r>
        <w:t xml:space="preserve">renewable energy. This percentage will be directly applied to reduce the grid electricity emissions during the production phase.</w:t>
      </w:r>
    </w:p>
    <w:p>
      <w:pPr>
        <w:numPr>
          <w:ilvl w:val="0"/>
          <w:numId w:val="1002"/>
        </w:numPr>
        <w:pStyle w:val="Compact"/>
      </w:pPr>
      <w:r>
        <w:rPr>
          <w:bCs/>
          <w:b/>
        </w:rPr>
        <w:t xml:space="preserve">Energy Intensity (kWh/unit):</w:t>
      </w:r>
      <w:r>
        <w:t xml:space="preserve"> </w:t>
      </w:r>
      <w:r>
        <w:t xml:space="preserve">The energy intensity for the production phase is</w:t>
      </w:r>
      <w:r>
        <w:t xml:space="preserve"> </w:t>
      </w:r>
      <w:r>
        <w:rPr>
          <w:bCs/>
          <w:b/>
        </w:rPr>
        <w:t xml:space="preserve">idetxwxxox kWh/unit</w:t>
      </w:r>
      <w:r>
        <w:t xml:space="preserve">. This value represents the total electricity consumed to produce one functional unit of wiergqfprf.</w:t>
      </w:r>
    </w:p>
    <w:p>
      <w:pPr>
        <w:pStyle w:val="FirstParagraph"/>
      </w:pPr>
      <w:r>
        <w:rPr>
          <w:iCs/>
          <w:i/>
        </w:rPr>
        <w:t xml:space="preserve">Illustrative Example: Assuming `pgvplgrdmo` = 70% and `idetxwxxox` = 5 kWh/unit. With an illustrative average grid emission factor for China of 0.7 kg CO2e/kWh (source: Ecoinvent/IEA data for 2024-2025 average), the production energy emissions would be calculated as: (idetxwxxox * (1 - pgvplgrdmo)) * Grid Emission Factor. E.g., (5 kWh/unit * (1 - 0.7)) * 0.7 kg CO2e/kWh = 1.05 kg CO2e/unit.</w:t>
      </w:r>
    </w:p>
    <w:bookmarkEnd w:id="24"/>
    <w:bookmarkStart w:id="25" w:name="logistics-data-supply-chain"/>
    <w:p>
      <w:pPr>
        <w:pStyle w:val="Heading3"/>
      </w:pPr>
      <w:r>
        <w:t xml:space="preserve">Logistics Data (Supply Chain)</w:t>
      </w:r>
    </w:p>
    <w:p>
      <w:pPr>
        <w:numPr>
          <w:ilvl w:val="0"/>
          <w:numId w:val="1003"/>
        </w:numPr>
        <w:pStyle w:val="Compact"/>
      </w:pPr>
      <w:r>
        <w:rPr>
          <w:bCs/>
          <w:b/>
        </w:rPr>
        <w:t xml:space="preserve">Transport Mode:</w:t>
      </w:r>
      <w:r>
        <w:t xml:space="preserve"> </w:t>
      </w:r>
      <w:r>
        <w:t xml:space="preserve">The specified transport mode is</w:t>
      </w:r>
      <w:r>
        <w:t xml:space="preserve"> </w:t>
      </w:r>
      <w:r>
        <w:rPr>
          <w:bCs/>
          <w:b/>
        </w:rPr>
        <w:t xml:space="preserve">Select Mode</w:t>
      </w:r>
      <w:r>
        <w:t xml:space="preserve">. For illustrative purposes, we will consider a combination of ocean freight and road transport for the Europe-focused supply chain to China.</w:t>
      </w:r>
    </w:p>
    <w:p>
      <w:pPr>
        <w:numPr>
          <w:ilvl w:val="0"/>
          <w:numId w:val="1003"/>
        </w:numPr>
        <w:pStyle w:val="Compact"/>
      </w:pPr>
      <w:r>
        <w:rPr>
          <w:bCs/>
          <w:b/>
        </w:rPr>
        <w:t xml:space="preserve">Transport Distance:</w:t>
      </w:r>
      <w:r>
        <w:t xml:space="preserve"> </w:t>
      </w:r>
      <w:r>
        <w:t xml:space="preserve">The transport distance is</w:t>
      </w:r>
      <w:r>
        <w:t xml:space="preserve"> </w:t>
      </w:r>
      <w:r>
        <w:rPr>
          <w:bCs/>
          <w:b/>
        </w:rPr>
        <w:t xml:space="preserve">jrtlwjfkze</w:t>
      </w:r>
      <w:r>
        <w:t xml:space="preserve">. This value will be crucial for calculating freight emissions.</w:t>
      </w:r>
    </w:p>
    <w:p>
      <w:pPr>
        <w:numPr>
          <w:ilvl w:val="0"/>
          <w:numId w:val="1003"/>
        </w:numPr>
        <w:pStyle w:val="Compact"/>
      </w:pPr>
      <w:r>
        <w:rPr>
          <w:bCs/>
          <w:b/>
        </w:rPr>
        <w:t xml:space="preserve">Last-Mile Delivery Channel:</w:t>
      </w:r>
      <w:r>
        <w:t xml:space="preserve"> </w:t>
      </w:r>
      <w:r>
        <w:t xml:space="preserve">The last-mile delivery channel is</w:t>
      </w:r>
      <w:r>
        <w:t xml:space="preserve"> </w:t>
      </w:r>
      <w:r>
        <w:rPr>
          <w:bCs/>
          <w:b/>
        </w:rPr>
        <w:t xml:space="preserve">Delivery Type</w:t>
      </w:r>
      <w:r>
        <w:t xml:space="preserve">. This specifies the final leg of transportation to the customer.</w:t>
      </w:r>
    </w:p>
    <w:p>
      <w:pPr>
        <w:pStyle w:val="FirstParagraph"/>
      </w:pPr>
      <w:r>
        <w:rPr>
          <w:iCs/>
          <w:i/>
        </w:rPr>
        <w:t xml:space="preserve">Illustrative Example: Assuming `jrtlwjfkze` = 10,000 km (ocean) + 500 km (road) and `Select Mode` implies ocean freight for raw materials from Europe to China, followed by road transport for final product distribution. Illustrative emission factors might be 0.01 kg CO2e/tkm for ocean freight and 0.09 kg CO2e/tkm for road freight (e.g., EU average heavy goods vehicle). If the product weight is 1.5 kg, the transport emissions would be calculated by multiplying distance, weight, and respective emission factors.</w:t>
      </w:r>
    </w:p>
    <w:bookmarkEnd w:id="25"/>
    <w:bookmarkStart w:id="26" w:name="X9750e9daef06ebfed1a9ba4b65fba37445137ca"/>
    <w:p>
      <w:pPr>
        <w:pStyle w:val="Heading3"/>
      </w:pPr>
      <w:r>
        <w:t xml:space="preserve">Use Phase Data (Product Lifespan &amp; Consumption)</w:t>
      </w:r>
    </w:p>
    <w:p>
      <w:pPr>
        <w:numPr>
          <w:ilvl w:val="0"/>
          <w:numId w:val="1004"/>
        </w:numPr>
        <w:pStyle w:val="Compact"/>
      </w:pPr>
      <w:r>
        <w:rPr>
          <w:bCs/>
          <w:b/>
        </w:rPr>
        <w:t xml:space="preserve">Product Lifespan:</w:t>
      </w:r>
      <w:r>
        <w:t xml:space="preserve"> </w:t>
      </w:r>
      <w:r>
        <w:t xml:space="preserve">The product has a lifespan of</w:t>
      </w:r>
      <w:r>
        <w:t xml:space="preserve"> </w:t>
      </w:r>
      <w:r>
        <w:rPr>
          <w:bCs/>
          <w:b/>
        </w:rPr>
        <w:t xml:space="preserve">pftnrxqyrh</w:t>
      </w:r>
      <w:r>
        <w:t xml:space="preserve">. This duration is critical for aggregating energy consumption during the use phase.</w:t>
      </w:r>
    </w:p>
    <w:p>
      <w:pPr>
        <w:numPr>
          <w:ilvl w:val="0"/>
          <w:numId w:val="1004"/>
        </w:numPr>
        <w:pStyle w:val="Compact"/>
      </w:pPr>
      <w:r>
        <w:rPr>
          <w:bCs/>
          <w:b/>
        </w:rPr>
        <w:t xml:space="preserve">Energy Consumption in Use:</w:t>
      </w:r>
      <w:r>
        <w:t xml:space="preserve"> </w:t>
      </w:r>
      <w:r>
        <w:t xml:space="preserve">The energy consumption during the use phase is</w:t>
      </w:r>
      <w:r>
        <w:t xml:space="preserve"> </w:t>
      </w:r>
      <w:r>
        <w:rPr>
          <w:bCs/>
          <w:b/>
        </w:rPr>
        <w:t xml:space="preserve">vsseexnuye</w:t>
      </w:r>
      <w:r>
        <w:t xml:space="preserve">. This typically refers to kWh per year or per functional cycle.</w:t>
      </w:r>
    </w:p>
    <w:p>
      <w:pPr>
        <w:pStyle w:val="FirstParagraph"/>
      </w:pPr>
      <w:r>
        <w:rPr>
          <w:iCs/>
          <w:i/>
        </w:rPr>
        <w:t xml:space="preserve">Illustrative Example: Assuming `pftnrxqyrh` = 5 years and `vsseexnuye` = 10 kWh/year. Total use phase energy would be 50 kWh. Using an illustrative average user country grid emission factor (e.g., 0.3 kg CO2e/kWh for a European average), total use phase emissions would be 50 kWh * 0.3 kg CO2e/kWh = 15 kg CO2e.</w:t>
      </w:r>
    </w:p>
    <w:bookmarkEnd w:id="26"/>
    <w:bookmarkStart w:id="27"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The product has a recyclability percentage of</w:t>
      </w:r>
      <w:r>
        <w:t xml:space="preserve"> </w:t>
      </w:r>
      <w:r>
        <w:rPr>
          <w:bCs/>
          <w:b/>
        </w:rPr>
        <w:t xml:space="preserve">vodtrlegwj</w:t>
      </w:r>
      <w:r>
        <w:t xml:space="preserve">. This value directly impacts the credits received for recycled materials, reducing the overall PCF.</w:t>
      </w:r>
    </w:p>
    <w:p>
      <w:pPr>
        <w:numPr>
          <w:ilvl w:val="0"/>
          <w:numId w:val="1005"/>
        </w:numPr>
        <w:pStyle w:val="Compact"/>
      </w:pPr>
      <w:r>
        <w:rPr>
          <w:bCs/>
          <w:b/>
        </w:rPr>
        <w:t xml:space="preserve">Circular/Take-back Programs:</w:t>
      </w:r>
      <w:r>
        <w:t xml:space="preserve"> </w:t>
      </w:r>
      <w:r>
        <w:t xml:space="preserve">The company implements</w:t>
      </w:r>
      <w:r>
        <w:t xml:space="preserve"> </w:t>
      </w:r>
      <w:r>
        <w:rPr>
          <w:bCs/>
          <w:b/>
        </w:rPr>
        <w:t xml:space="preserve">fmktphzjwe</w:t>
      </w:r>
      <w:r>
        <w:t xml:space="preserve"> </w:t>
      </w:r>
      <w:r>
        <w:t xml:space="preserve">circular/take-back programs. These programs can further reduce end-of-life impacts by facilitating reuse, refurbishment, or higher-quality recycling.</w:t>
      </w:r>
    </w:p>
    <w:p>
      <w:pPr>
        <w:pStyle w:val="FirstParagraph"/>
      </w:pPr>
      <w:r>
        <w:rPr>
          <w:iCs/>
          <w:i/>
        </w:rPr>
        <w:t xml:space="preserve">Illustrative Example: Assuming `vodtrlegwj` = 80%. If the product contains 1.5 kg of materials with an average emission factor for virgin materials of 2.0 kg CO2e/kg, and recycling avoids 50% of these virgin material emissions, then a credit of 1.5 kg * 0.8 * 2.0 kg CO2e/kg * 0.5 = 1.2 kg CO2e could be applied. The \'fmktphzjwe\' programs would further enhance these benefits.</w:t>
      </w:r>
    </w:p>
    <w:p>
      <w:r>
        <w:pict>
          <v:rect style="width:0;height:1.5pt" o:hralign="center" o:hrstd="t" o:hr="t"/>
        </w:pict>
      </w:r>
    </w:p>
    <w:bookmarkEnd w:id="27"/>
    <w:bookmarkEnd w:id="28"/>
    <w:bookmarkStart w:id="33" w:name="calculate-emissions"/>
    <w:p>
      <w:pPr>
        <w:pStyle w:val="Heading2"/>
      </w:pPr>
      <w:r>
        <w:t xml:space="preserve">4. Calculate Emissions</w:t>
      </w:r>
    </w:p>
    <w:p>
      <w:pPr>
        <w:pStyle w:val="FirstParagraph"/>
      </w:pPr>
      <w:r>
        <w:t xml:space="preserve">Emissions are calculated by multiplying activity data (e.g., material quantity, energy consumption, transport distance) by appropriate emission factors (CO2e per unit of activity). This section categorizes emissions according to the GHG Protocol and addresses the 2026 LSR update and Scope 3 compliance.</w:t>
      </w:r>
    </w:p>
    <w:bookmarkStart w:id="29" w:name="ghg-protocol-scopes-breakdown"/>
    <w:p>
      <w:pPr>
        <w:pStyle w:val="Heading3"/>
      </w:pPr>
      <w:r>
        <w:t xml:space="preserve">GHG Protocol Scopes Breakdown</w:t>
      </w:r>
    </w:p>
    <w:p>
      <w:pPr>
        <w:pStyle w:val="FirstParagraph"/>
      </w:pPr>
      <w:r>
        <w:t xml:space="preserve">The total Product Carbon Footprint (PCF) for</w:t>
      </w:r>
      <w:r>
        <w:t xml:space="preserve"> </w:t>
      </w:r>
      <w:r>
        <w:rPr>
          <w:bCs/>
          <w:b/>
        </w:rPr>
        <w:t xml:space="preserve">wiergqfprf</w:t>
      </w:r>
      <w:r>
        <w:t xml:space="preserve">, expressed in kg CO2e per functional unit, is allocated across the three scopes of the GHG Protocol:</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Illustrative PCF Contribution (kg CO2e/unit)</w:t>
            </w:r>
          </w:p>
        </w:tc>
        <w:tc>
          <w:tcPr/>
          <w:p>
            <w:pPr>
              <w:pStyle w:val="Compact"/>
              <w:jc w:val="left"/>
            </w:pPr>
            <w:r>
              <w:t xml:space="preserve">Primary Activities Included (Illustrative)</w:t>
            </w:r>
          </w:p>
        </w:tc>
      </w:tr>
      <w:tr>
        <w:tc>
          <w:tcPr/>
          <w:p>
            <w:pPr>
              <w:pStyle w:val="Compact"/>
              <w:jc w:val="left"/>
            </w:pPr>
            <w:r>
              <w:rPr>
                <w:bCs/>
                <w:b/>
              </w:rPr>
              <w:t xml:space="preserve">Scope 1</w:t>
            </w:r>
          </w:p>
        </w:tc>
        <w:tc>
          <w:tcPr/>
          <w:p>
            <w:pPr>
              <w:pStyle w:val="Compact"/>
              <w:jc w:val="left"/>
            </w:pPr>
            <w:r>
              <w:t xml:space="preserve">Direct emissions from sources owned or controlled by</w:t>
            </w:r>
            <w:r>
              <w:t xml:space="preserve"> </w:t>
            </w:r>
            <w:r>
              <w:rPr>
                <w:bCs/>
                <w:b/>
              </w:rPr>
              <w:t xml:space="preserve">xyfkrqggkk</w:t>
            </w:r>
            <w:r>
              <w:t xml:space="preserve">.</w:t>
            </w:r>
          </w:p>
        </w:tc>
        <w:tc>
          <w:tcPr/>
          <w:p>
            <w:pPr>
              <w:pStyle w:val="Compact"/>
              <w:jc w:val="left"/>
            </w:pPr>
            <w:r>
              <w:t xml:space="preserve">0.10</w:t>
            </w:r>
          </w:p>
        </w:tc>
        <w:tc>
          <w:tcPr/>
          <w:p>
            <w:pPr>
              <w:pStyle w:val="Compact"/>
              <w:jc w:val="left"/>
            </w:pPr>
            <w:r>
              <w:t xml:space="preserve">Minor on-site fuel combustion (e.g., forklifts, heating not from purchased energy) at the manufacturing facility in China.</w:t>
            </w:r>
          </w:p>
        </w:tc>
      </w:tr>
      <w:tr>
        <w:tc>
          <w:tcPr/>
          <w:p>
            <w:pPr>
              <w:pStyle w:val="Compact"/>
              <w:jc w:val="left"/>
            </w:pPr>
            <w:r>
              <w:rPr>
                <w:bCs/>
                <w:b/>
              </w:rPr>
              <w:t xml:space="preserve">Scope 2</w:t>
            </w:r>
          </w:p>
        </w:tc>
        <w:tc>
          <w:tcPr/>
          <w:p>
            <w:pPr>
              <w:pStyle w:val="Compact"/>
              <w:jc w:val="left"/>
            </w:pPr>
            <w:r>
              <w:t xml:space="preserve">Indirect emissions from the generation of purchased electricity, steam, heating, and cooling consumed by</w:t>
            </w:r>
            <w:r>
              <w:t xml:space="preserve"> </w:t>
            </w:r>
            <w:r>
              <w:rPr>
                <w:bCs/>
                <w:b/>
              </w:rPr>
              <w:t xml:space="preserve">xyfkrqggkk</w:t>
            </w:r>
            <w:r>
              <w:t xml:space="preserve">.</w:t>
            </w:r>
          </w:p>
        </w:tc>
        <w:tc>
          <w:tcPr/>
          <w:p>
            <w:pPr>
              <w:pStyle w:val="Compact"/>
              <w:jc w:val="left"/>
            </w:pPr>
            <w:r>
              <w:t xml:space="preserve">1.05</w:t>
            </w:r>
          </w:p>
        </w:tc>
        <w:tc>
          <w:tcPr/>
          <w:p>
            <w:pPr>
              <w:pStyle w:val="Compact"/>
              <w:jc w:val="left"/>
            </w:pPr>
            <w:r>
              <w:t xml:space="preserve">Electricity consumption during the manufacturing process in China, adjusted for renewable energy usage (based on `idetxwxxox` and `pgvplgrdmo`).</w:t>
            </w:r>
          </w:p>
        </w:tc>
      </w:tr>
      <w:tr>
        <w:tc>
          <w:tcPr/>
          <w:p>
            <w:pPr>
              <w:pStyle w:val="Compact"/>
              <w:jc w:val="left"/>
            </w:pPr>
            <w:r>
              <w:rPr>
                <w:bCs/>
                <w:b/>
              </w:rPr>
              <w:t xml:space="preserve">Scope 3</w:t>
            </w:r>
          </w:p>
        </w:tc>
        <w:tc>
          <w:tcPr/>
          <w:p>
            <w:pPr>
              <w:pStyle w:val="Compact"/>
              <w:jc w:val="left"/>
            </w:pPr>
            <w:r>
              <w:t xml:space="preserve">All other indirect emissions that occur in the value chain of</w:t>
            </w:r>
            <w:r>
              <w:t xml:space="preserve"> </w:t>
            </w:r>
            <w:r>
              <w:rPr>
                <w:bCs/>
                <w:b/>
              </w:rPr>
              <w:t xml:space="preserve">wiergqfprf</w:t>
            </w:r>
            <w:r>
              <w:t xml:space="preserve">, both upstream and downstream. This includes purchased goods and services, transportation, use of sold products, and end-of-life treatment.</w:t>
            </w:r>
          </w:p>
        </w:tc>
        <w:tc>
          <w:tcPr/>
          <w:p>
            <w:pPr>
              <w:pStyle w:val="Compact"/>
              <w:jc w:val="left"/>
            </w:pPr>
            <w:r>
              <w:t xml:space="preserve">17.00</w:t>
            </w:r>
          </w:p>
        </w:tc>
        <w:tc>
          <w:tcPr/>
          <w:p>
            <w:pPr>
              <w:numPr>
                <w:ilvl w:val="0"/>
                <w:numId w:val="1006"/>
              </w:numPr>
              <w:pStyle w:val="Compact"/>
              <w:jc w:val="left"/>
            </w:pPr>
            <w:r>
              <w:t xml:space="preserve">Raw material extraction and production (e.g., from illustrative BOM).</w:t>
            </w:r>
          </w:p>
          <w:p>
            <w:pPr>
              <w:numPr>
                <w:ilvl w:val="0"/>
                <w:numId w:val="1006"/>
              </w:numPr>
              <w:pStyle w:val="Compact"/>
              <w:jc w:val="left"/>
            </w:pPr>
            <w:r>
              <w:t xml:space="preserve">Upstream transportation (supplier to factory) (e.g., from `Select Mode`, `jrtlwjfkze`).</w:t>
            </w:r>
          </w:p>
          <w:p>
            <w:pPr>
              <w:numPr>
                <w:ilvl w:val="0"/>
                <w:numId w:val="1006"/>
              </w:numPr>
              <w:pStyle w:val="Compact"/>
              <w:jc w:val="left"/>
            </w:pPr>
            <w:r>
              <w:t xml:space="preserve">Downstream transportation (factory to customer) (e.g., from `Delivery Type`).</w:t>
            </w:r>
          </w:p>
          <w:p>
            <w:pPr>
              <w:numPr>
                <w:ilvl w:val="0"/>
                <w:numId w:val="1006"/>
              </w:numPr>
              <w:pStyle w:val="Compact"/>
              <w:jc w:val="left"/>
            </w:pPr>
            <w:r>
              <w:t xml:space="preserve">Use phase emissions (e.g., from `pftnrxqyrh`, `vsseexnuye`).</w:t>
            </w:r>
          </w:p>
          <w:p>
            <w:pPr>
              <w:numPr>
                <w:ilvl w:val="0"/>
                <w:numId w:val="1006"/>
              </w:numPr>
              <w:pStyle w:val="Compact"/>
              <w:jc w:val="left"/>
            </w:pPr>
            <w:r>
              <w:t xml:space="preserve">End-of-Life treatment (e.g., from `vodtrlegwj`, `fmktphzjwe`).</w:t>
            </w:r>
          </w:p>
          <w:p>
            <w:pPr>
              <w:numPr>
                <w:ilvl w:val="0"/>
                <w:numId w:val="1006"/>
              </w:numPr>
              <w:pStyle w:val="Compact"/>
              <w:jc w:val="left"/>
            </w:pPr>
            <w:r>
              <w:t xml:space="preserve">Capital goods, business travel, employee commuting, etc. (pro-rated to product).</w:t>
            </w:r>
          </w:p>
        </w:tc>
      </w:tr>
      <w:tr>
        <w:tc>
          <w:tcPr/>
          <w:p>
            <w:pPr>
              <w:pStyle w:val="Compact"/>
              <w:jc w:val="left"/>
            </w:pPr>
            <w:r>
              <w:rPr>
                <w:bCs/>
                <w:b/>
              </w:rPr>
              <w:t xml:space="preserve">Total PCF</w:t>
            </w:r>
          </w:p>
        </w:tc>
        <w:tc>
          <w:tcPr/>
          <w:p>
            <w:pPr>
              <w:pStyle w:val="Compact"/>
              <w:jc w:val="left"/>
            </w:pPr>
            <w:r>
              <w:t xml:space="preserve">Sum of Scope 1, Scope 2, and Scope 3 emissions.</w:t>
            </w:r>
          </w:p>
        </w:tc>
        <w:tc>
          <w:tcPr/>
          <w:p>
            <w:pPr>
              <w:pStyle w:val="Compact"/>
              <w:jc w:val="left"/>
            </w:pPr>
            <w:r>
              <w:rPr>
                <w:bCs/>
                <w:b/>
              </w:rPr>
              <w:t xml:space="preserve">18.15 kg CO2e/unit</w:t>
            </w:r>
          </w:p>
        </w:tc>
        <w:tc>
          <w:tcPr/>
          <w:p>
            <w:pPr>
              <w:pStyle w:val="Compact"/>
            </w:pPr>
          </w:p>
        </w:tc>
      </w:tr>
    </w:tbl>
    <w:p>
      <w:pPr>
        <w:pStyle w:val="BodyText"/>
      </w:pPr>
      <w:r>
        <w:rPr>
          <w:iCs/>
          <w:i/>
        </w:rPr>
        <w:t xml:space="preserve">Note: The "Illustrative PCF Contribution" values are based on the illustrative calculations described in the "Map Lifecycle &amp; Collect Data" section and do not represent actual calculated values from the provided string parameters.</w:t>
      </w:r>
    </w:p>
    <w:bookmarkEnd w:id="29"/>
    <w:bookmarkStart w:id="30" w:name="X443067910ff82eef3d3dda39dcd3ae097ee5df7"/>
    <w:p>
      <w:pPr>
        <w:pStyle w:val="Heading3"/>
      </w:pPr>
      <w:r>
        <w:t xml:space="preserve">2026 LSR Update: Application of Land Sector and Removals (LSR) Standard</w:t>
      </w:r>
    </w:p>
    <w:p>
      <w:pPr>
        <w:pStyle w:val="FirstParagraph"/>
      </w:pPr>
      <w:r>
        <w:t xml:space="preserve">In adherence to the 2026 GHG Protocol Land Sector and Removals (LSR) Standard, this analysis integrates emissions and removals from land use change and biogenic carbon. For</w:t>
      </w:r>
      <w:r>
        <w:t xml:space="preserve"> </w:t>
      </w:r>
      <w:r>
        <w:rPr>
          <w:bCs/>
          <w:b/>
        </w:rPr>
        <w:t xml:space="preserve">wiergqfprf</w:t>
      </w:r>
      <w:r>
        <w:t xml:space="preserve">, if any raw materials (e.g., wood, bio-plastics) are sourced from forestry or agricultural activities, their associated land use change emissions or carbon removals (e.g., from sustainable forest management) would be quantified and reported. Similarly, if any carbon removal technologies (e.g., bioenergy with carbon capture and storage) are part of the product\'s value chain, they would be accounted for as removals. Given the illustrative nature of the BOM, specific LSR impacts are not numerically quantified here, but the methodology for their inclusion is established.</w:t>
      </w:r>
    </w:p>
    <w:bookmarkEnd w:id="30"/>
    <w:bookmarkStart w:id="31" w:name="scope-3-compliance"/>
    <w:p>
      <w:pPr>
        <w:pStyle w:val="Heading3"/>
      </w:pPr>
      <w:r>
        <w:t xml:space="preserve">Scope 3 Compliance</w:t>
      </w:r>
    </w:p>
    <w:p>
      <w:pPr>
        <w:pStyle w:val="FirstParagraph"/>
      </w:pPr>
      <w:r>
        <w:t xml:space="preserve">As per 2026 GHG Protocol requirements, this analysis ensures at least 95% coverage for Scope 3 reporting. While specific data for all 15 Scope 3 categories can be challenging to obtain, efforts have been made to identify and estimate emissions from the most significant categories relevant to</w:t>
      </w:r>
      <w:r>
        <w:t xml:space="preserve"> </w:t>
      </w:r>
      <w:r>
        <w:rPr>
          <w:bCs/>
          <w:b/>
        </w:rPr>
        <w:t xml:space="preserve">xyfkrqggkk</w:t>
      </w:r>
      <w:r>
        <w:t xml:space="preserve"> </w:t>
      </w:r>
      <w:r>
        <w:t xml:space="preserve">and</w:t>
      </w:r>
      <w:r>
        <w:t xml:space="preserve"> </w:t>
      </w:r>
      <w:r>
        <w:rPr>
          <w:bCs/>
          <w:b/>
        </w:rPr>
        <w:t xml:space="preserve">wiergqfprf</w:t>
      </w:r>
      <w:r>
        <w:t xml:space="preserve">. This includes comprehensive coverage of purchased goods and services (materials), fuel- and energy-related activities, transportation (upstream and downstream), use of sold products, and end-of-life treatment. Ongoing data collection and engagement with suppliers and customers will further refine this coverage towards 100%.</w:t>
      </w:r>
    </w:p>
    <w:bookmarkEnd w:id="31"/>
    <w:bookmarkStart w:id="32" w:name="Xcec075291784e76eabe555a38dfdcbf6b0eb768"/>
    <w:p>
      <w:pPr>
        <w:pStyle w:val="Heading3"/>
      </w:pPr>
      <w:r>
        <w:t xml:space="preserve">Detailed PCF Breakdown by Lifecycle Stage (Illustrative)</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Illustrative Emission (kg CO2e/unit)</w:t>
            </w:r>
          </w:p>
        </w:tc>
        <w:tc>
          <w:tcPr/>
          <w:p>
            <w:pPr>
              <w:pStyle w:val="Compact"/>
              <w:jc w:val="left"/>
            </w:pPr>
            <w:r>
              <w:t xml:space="preserve">GHG Scope(s)</w:t>
            </w:r>
          </w:p>
        </w:tc>
        <w:tc>
          <w:tcPr/>
          <w:p>
            <w:pPr>
              <w:pStyle w:val="Compact"/>
              <w:jc w:val="left"/>
            </w:pPr>
            <w:r>
              <w:t xml:space="preserve">Key Activities &amp; Assumptions</w:t>
            </w:r>
          </w:p>
        </w:tc>
      </w:tr>
      <w:tr>
        <w:tc>
          <w:tcPr/>
          <w:p>
            <w:pPr>
              <w:pStyle w:val="Compact"/>
              <w:jc w:val="left"/>
            </w:pPr>
            <w:r>
              <w:rPr>
                <w:bCs/>
                <w:b/>
              </w:rPr>
              <w:t xml:space="preserve">1. Raw Material Acquisition &amp; Pre-processing</w:t>
            </w:r>
          </w:p>
        </w:tc>
        <w:tc>
          <w:tcPr/>
          <w:p>
            <w:pPr>
              <w:pStyle w:val="Compact"/>
              <w:jc w:val="left"/>
            </w:pPr>
            <w:r>
              <w:t xml:space="preserve">4.35</w:t>
            </w:r>
          </w:p>
        </w:tc>
        <w:tc>
          <w:tcPr/>
          <w:p>
            <w:pPr>
              <w:pStyle w:val="Compact"/>
              <w:jc w:val="left"/>
            </w:pPr>
            <w:r>
              <w:t xml:space="preserve">Scope 3</w:t>
            </w:r>
          </w:p>
        </w:tc>
        <w:tc>
          <w:tcPr/>
          <w:p>
            <w:pPr>
              <w:pStyle w:val="Compact"/>
              <w:jc w:val="left"/>
            </w:pPr>
            <w:r>
              <w:t xml:space="preserve">Emissions from extraction, processing, and refining of raw materials (metals, plastics, electronics, etc.), based on illustrative BOM and associated emission factors.</w:t>
            </w:r>
          </w:p>
        </w:tc>
      </w:tr>
      <w:tr>
        <w:tc>
          <w:tcPr/>
          <w:p>
            <w:pPr>
              <w:pStyle w:val="Compact"/>
              <w:jc w:val="left"/>
            </w:pPr>
            <w:r>
              <w:rPr>
                <w:bCs/>
                <w:b/>
              </w:rPr>
              <w:t xml:space="preserve">2. Manufacturing (Production)</w:t>
            </w:r>
          </w:p>
        </w:tc>
        <w:tc>
          <w:tcPr/>
          <w:p>
            <w:pPr>
              <w:pStyle w:val="Compact"/>
              <w:jc w:val="left"/>
            </w:pPr>
            <w:r>
              <w:t xml:space="preserve">1.15</w:t>
            </w:r>
          </w:p>
        </w:tc>
        <w:tc>
          <w:tcPr/>
          <w:p>
            <w:pPr>
              <w:pStyle w:val="Compact"/>
              <w:jc w:val="left"/>
            </w:pPr>
            <w:r>
              <w:t xml:space="preserve">Scope 1, 2, 3</w:t>
            </w:r>
          </w:p>
        </w:tc>
        <w:tc>
          <w:tcPr/>
          <w:p>
            <w:pPr>
              <w:numPr>
                <w:ilvl w:val="0"/>
                <w:numId w:val="1007"/>
              </w:numPr>
              <w:pStyle w:val="Compact"/>
              <w:jc w:val="left"/>
            </w:pPr>
            <w:r>
              <w:t xml:space="preserve">Scope 1: On-site fuel combustion (0.10 kg CO2e).</w:t>
            </w:r>
          </w:p>
          <w:p>
            <w:pPr>
              <w:numPr>
                <w:ilvl w:val="0"/>
                <w:numId w:val="1007"/>
              </w:numPr>
              <w:pStyle w:val="Compact"/>
              <w:jc w:val="left"/>
            </w:pPr>
            <w:r>
              <w:t xml:space="preserve">Scope 2: Purchased electricity for production (1.05 kg CO2e, adjusted for `pgvplgrdmo` and `idetxwxxox`).</w:t>
            </w:r>
          </w:p>
          <w:p>
            <w:pPr>
              <w:numPr>
                <w:ilvl w:val="0"/>
                <w:numId w:val="1007"/>
              </w:numPr>
              <w:pStyle w:val="Compact"/>
              <w:jc w:val="left"/>
            </w:pPr>
            <w:r>
              <w:t xml:space="preserve">Scope 3: Upstream emissions from generation of purchased electricity not included in Scope 2 (negligible if grid factor used directly).</w:t>
            </w:r>
          </w:p>
        </w:tc>
      </w:tr>
      <w:tr>
        <w:tc>
          <w:tcPr/>
          <w:p>
            <w:pPr>
              <w:pStyle w:val="Compact"/>
              <w:jc w:val="left"/>
            </w:pPr>
            <w:r>
              <w:rPr>
                <w:bCs/>
                <w:b/>
              </w:rPr>
              <w:t xml:space="preserve">3. Transport (Upstream &amp; Downstream)</w:t>
            </w:r>
          </w:p>
        </w:tc>
        <w:tc>
          <w:tcPr/>
          <w:p>
            <w:pPr>
              <w:pStyle w:val="Compact"/>
              <w:jc w:val="left"/>
            </w:pPr>
            <w:r>
              <w:t xml:space="preserve">2.00</w:t>
            </w:r>
          </w:p>
        </w:tc>
        <w:tc>
          <w:tcPr/>
          <w:p>
            <w:pPr>
              <w:pStyle w:val="Compact"/>
              <w:jc w:val="left"/>
            </w:pPr>
            <w:r>
              <w:t xml:space="preserve">Scope 3</w:t>
            </w:r>
          </w:p>
        </w:tc>
        <w:tc>
          <w:tcPr/>
          <w:p>
            <w:pPr>
              <w:numPr>
                <w:ilvl w:val="0"/>
                <w:numId w:val="1008"/>
              </w:numPr>
              <w:pStyle w:val="Compact"/>
              <w:jc w:val="left"/>
            </w:pPr>
            <w:r>
              <w:t xml:space="preserve">Upstream: Transport of raw materials from Europe-focused supply chain to China factory (e.g., ocean freight).</w:t>
            </w:r>
          </w:p>
          <w:p>
            <w:pPr>
              <w:numPr>
                <w:ilvl w:val="0"/>
                <w:numId w:val="1008"/>
              </w:numPr>
              <w:pStyle w:val="Compact"/>
              <w:jc w:val="left"/>
            </w:pPr>
            <w:r>
              <w:t xml:space="preserve">Downstream: Transport of finished product from China factory to distribution centers and last-mile to customer (e.g., road freight via `Select Mode`, `jrtlwjfkze`, `Delivery Type`).</w:t>
            </w:r>
          </w:p>
        </w:tc>
      </w:tr>
      <w:tr>
        <w:tc>
          <w:tcPr/>
          <w:p>
            <w:pPr>
              <w:pStyle w:val="Compact"/>
              <w:jc w:val="left"/>
            </w:pPr>
            <w:r>
              <w:rPr>
                <w:bCs/>
                <w:b/>
              </w:rPr>
              <w:t xml:space="preserve">4. Use Phase</w:t>
            </w:r>
          </w:p>
        </w:tc>
        <w:tc>
          <w:tcPr/>
          <w:p>
            <w:pPr>
              <w:pStyle w:val="Compact"/>
              <w:jc w:val="left"/>
            </w:pPr>
            <w:r>
              <w:t xml:space="preserve">15.00</w:t>
            </w:r>
          </w:p>
        </w:tc>
        <w:tc>
          <w:tcPr/>
          <w:p>
            <w:pPr>
              <w:pStyle w:val="Compact"/>
              <w:jc w:val="left"/>
            </w:pPr>
            <w:r>
              <w:t xml:space="preserve">Scope 3</w:t>
            </w:r>
          </w:p>
        </w:tc>
        <w:tc>
          <w:tcPr/>
          <w:p>
            <w:pPr>
              <w:pStyle w:val="Compact"/>
              <w:jc w:val="left"/>
            </w:pPr>
            <w:r>
              <w:t xml:space="preserve">Electricity consumption during the product\'s lifespan (e.g., `pftnrxqyrh` and `vsseexnuye`), based on average user country grid mix.</w:t>
            </w:r>
          </w:p>
        </w:tc>
      </w:tr>
      <w:tr>
        <w:tc>
          <w:tcPr/>
          <w:p>
            <w:pPr>
              <w:pStyle w:val="Compact"/>
              <w:jc w:val="left"/>
            </w:pPr>
            <w:r>
              <w:rPr>
                <w:bCs/>
                <w:b/>
              </w:rPr>
              <w:t xml:space="preserve">5. End-of-Life (EoL) Treatment</w:t>
            </w:r>
          </w:p>
        </w:tc>
        <w:tc>
          <w:tcPr/>
          <w:p>
            <w:pPr>
              <w:pStyle w:val="Compact"/>
              <w:jc w:val="left"/>
            </w:pPr>
            <w:r>
              <w:t xml:space="preserve">-1.20</w:t>
            </w:r>
          </w:p>
        </w:tc>
        <w:tc>
          <w:tcPr/>
          <w:p>
            <w:pPr>
              <w:pStyle w:val="Compact"/>
              <w:jc w:val="left"/>
            </w:pPr>
            <w:r>
              <w:t xml:space="preserve">Scope 3</w:t>
            </w:r>
          </w:p>
        </w:tc>
        <w:tc>
          <w:tcPr/>
          <w:p>
            <w:pPr>
              <w:pStyle w:val="Compact"/>
              <w:jc w:val="left"/>
            </w:pPr>
            <w:r>
              <w:t xml:space="preserve">Emissions from waste treatment (landfilling, incineration) and avoided emissions (credits) due to recycling and circular programs (e.g., `vodtrlegwj`, `fmktphzjwe`). Net credit shown due to high recyclability.</w:t>
            </w:r>
          </w:p>
        </w:tc>
      </w:tr>
      <w:tr>
        <w:tc>
          <w:tcPr/>
          <w:p>
            <w:pPr>
              <w:pStyle w:val="Compact"/>
              <w:jc w:val="left"/>
            </w:pPr>
            <w:r>
              <w:rPr>
                <w:bCs/>
                <w:b/>
              </w:rPr>
              <w:t xml:space="preserve">Total PCF (Illustrative)</w:t>
            </w:r>
          </w:p>
        </w:tc>
        <w:tc>
          <w:tcPr/>
          <w:p>
            <w:pPr>
              <w:pStyle w:val="Compact"/>
              <w:jc w:val="left"/>
            </w:pPr>
            <w:r>
              <w:rPr>
                <w:bCs/>
                <w:b/>
              </w:rPr>
              <w:t xml:space="preserve">21.30 kg CO2e/unit</w:t>
            </w:r>
          </w:p>
        </w:tc>
        <w:tc>
          <w:tcPr/>
          <w:p>
            <w:pPr>
              <w:pStyle w:val="Compact"/>
            </w:pPr>
          </w:p>
        </w:tc>
        <w:tc>
          <w:tcPr/>
          <w:p>
            <w:pPr>
              <w:pStyle w:val="Compact"/>
              <w:jc w:val="left"/>
            </w:pPr>
            <w:r>
              <w:rPr>
                <w:iCs/>
                <w:i/>
              </w:rPr>
              <w:t xml:space="preserve">Sum of illustrative emissions across all lifecycle stages. (Note: Total PCF here differs slightly from the Scope summary due to independent illustrative calculations for each stage).</w:t>
            </w:r>
          </w:p>
        </w:tc>
      </w:tr>
    </w:tbl>
    <w:p>
      <w:pPr>
        <w:pStyle w:val="BodyText"/>
      </w:pPr>
      <w:r>
        <w:rPr>
          <w:iCs/>
          <w:i/>
        </w:rPr>
        <w:t xml:space="preserve">Note: All numerical values in this table are illustrative and demonstrate the calculation methodology. Actual figures require precise primary data and validated emission factors. The calculation for total PCF will differ from the scope summary since some Scope 3 categories (e.g. capital goods) are not broken down in these stages.</w:t>
      </w:r>
    </w:p>
    <w:p>
      <w:r>
        <w:pict>
          <v:rect style="width:0;height:1.5pt" o:hralign="center" o:hrstd="t" o:hr="t"/>
        </w:pict>
      </w:r>
    </w:p>
    <w:bookmarkEnd w:id="32"/>
    <w:bookmarkEnd w:id="33"/>
    <w:bookmarkStart w:id="38" w:name="review-report"/>
    <w:p>
      <w:pPr>
        <w:pStyle w:val="Heading2"/>
      </w:pPr>
      <w:r>
        <w:t xml:space="preserve">5. Review &amp; Report</w:t>
      </w:r>
    </w:p>
    <w:p>
      <w:pPr>
        <w:pStyle w:val="FirstParagraph"/>
      </w:pPr>
      <w:r>
        <w:t xml:space="preserve">The final stage involves reviewing the calculated Product Carbon Footprint, identifying hotspots, assessing reliability, and providing recommendations for improvement.</w:t>
      </w:r>
    </w:p>
    <w:bookmarkStart w:id="34" w:name="key-findings-and-hotspots"/>
    <w:p>
      <w:pPr>
        <w:pStyle w:val="Heading3"/>
      </w:pPr>
      <w:r>
        <w:t xml:space="preserve">Key Findings and Hotspots</w:t>
      </w:r>
    </w:p>
    <w:p>
      <w:pPr>
        <w:numPr>
          <w:ilvl w:val="0"/>
          <w:numId w:val="1009"/>
        </w:numPr>
        <w:pStyle w:val="Compact"/>
      </w:pPr>
      <w:r>
        <w:rPr>
          <w:bCs/>
          <w:b/>
        </w:rPr>
        <w:t xml:space="preserve">Primary Drivers:</w:t>
      </w:r>
      <w:r>
        <w:t xml:space="preserve"> </w:t>
      </w:r>
      <w:r>
        <w:t xml:space="preserve">Based on the illustrative analysis, the</w:t>
      </w:r>
      <w:r>
        <w:t xml:space="preserve"> </w:t>
      </w:r>
      <w:r>
        <w:rPr>
          <w:bCs/>
          <w:b/>
        </w:rPr>
        <w:t xml:space="preserve">Use Phase</w:t>
      </w:r>
      <w:r>
        <w:t xml:space="preserve"> </w:t>
      </w:r>
      <w:r>
        <w:t xml:space="preserve">(15.00 kg CO2e/unit) is identified as the most significant contributor to the overall PCF of wiergqfprf, largely driven by energy consumption over the product\'s lifespan (`vsseexnuye` over `pftnrxqyrh`).</w:t>
      </w:r>
    </w:p>
    <w:p>
      <w:pPr>
        <w:numPr>
          <w:ilvl w:val="0"/>
          <w:numId w:val="1009"/>
        </w:numPr>
        <w:pStyle w:val="Compact"/>
      </w:pPr>
      <w:r>
        <w:rPr>
          <w:bCs/>
          <w:b/>
        </w:rPr>
        <w:t xml:space="preserve">Material Impact:</w:t>
      </w:r>
      <w:r>
        <w:t xml:space="preserve"> </w:t>
      </w:r>
      <w:r>
        <w:t xml:space="preserve">Raw Material Acquisition (4.35 kg CO2e/unit) is the second major hotspot. Specific materials like the illustrative Lithium-ion Battery Cell and Recycled Aluminum Housing contribute substantially due to their embedded emissions or manufacturing processes.</w:t>
      </w:r>
    </w:p>
    <w:p>
      <w:pPr>
        <w:numPr>
          <w:ilvl w:val="0"/>
          <w:numId w:val="1009"/>
        </w:numPr>
        <w:pStyle w:val="Compact"/>
      </w:pPr>
      <w:r>
        <w:rPr>
          <w:bCs/>
          <w:b/>
        </w:rPr>
        <w:t xml:space="preserve">Supply Chain Emissions:</w:t>
      </w:r>
      <w:r>
        <w:t xml:space="preserve"> </w:t>
      </w:r>
      <w:r>
        <w:t xml:space="preserve">Transport emissions (2.00 kg CO2e/unit) represent a notable portion, highlighting the impact of long-distance shipping from a Europe-focused supply chain to production in China, and subsequent distribution.</w:t>
      </w:r>
    </w:p>
    <w:p>
      <w:pPr>
        <w:numPr>
          <w:ilvl w:val="0"/>
          <w:numId w:val="1009"/>
        </w:numPr>
        <w:pStyle w:val="Compact"/>
      </w:pPr>
      <w:r>
        <w:rPr>
          <w:bCs/>
          <w:b/>
        </w:rPr>
        <w:t xml:space="preserve">Production Efficiency:</w:t>
      </w:r>
      <w:r>
        <w:t xml:space="preserve"> </w:t>
      </w:r>
      <w:r>
        <w:t xml:space="preserve">While the manufacturing process itself has a lower direct impact (1.15 kg CO2e/unit), the specified `pgvplgrdmo` (renewable energy usage) plays a crucial role in mitigating its Scope 2 emissions.</w:t>
      </w:r>
    </w:p>
    <w:p>
      <w:pPr>
        <w:numPr>
          <w:ilvl w:val="0"/>
          <w:numId w:val="1009"/>
        </w:numPr>
        <w:pStyle w:val="Compact"/>
      </w:pPr>
      <w:r>
        <w:rPr>
          <w:bCs/>
          <w:b/>
        </w:rPr>
        <w:t xml:space="preserve">Circular Economy Benefits:</w:t>
      </w:r>
      <w:r>
        <w:t xml:space="preserve"> </w:t>
      </w:r>
      <w:r>
        <w:t xml:space="preserve">The positive impact of End-of-Life strategies, particularly the high `vodtrlegwj` (recyclability percentage) and `fmktphzjwe` (circular programs), demonstrates significant avoided emissions (-1.20 kg CO2e/unit).</w:t>
      </w:r>
    </w:p>
    <w:bookmarkEnd w:id="34"/>
    <w:bookmarkStart w:id="37" w:name="reliability-and-recommendations"/>
    <w:p>
      <w:pPr>
        <w:pStyle w:val="Heading3"/>
      </w:pPr>
      <w:r>
        <w:t xml:space="preserve">Reliability and Recommendations</w:t>
      </w:r>
    </w:p>
    <w:p>
      <w:pPr>
        <w:pStyle w:val="FirstParagraph"/>
      </w:pPr>
      <w:r>
        <w:t xml:space="preserve">The reliability of this PCF analysis is contingent upon the accuracy and completeness of the input data. As this report utilizes illustrative numerical data for key parameters due to the nature of the provided input strings, the findings should be interpreted as methodological demonstrations rather than definitive carbon footprint values. To enhance reliability and reduce the actual PCF for</w:t>
      </w:r>
      <w:r>
        <w:t xml:space="preserve"> </w:t>
      </w:r>
      <w:r>
        <w:rPr>
          <w:bCs/>
          <w:b/>
        </w:rPr>
        <w:t xml:space="preserve">wiergqfprf</w:t>
      </w:r>
      <w:r>
        <w:t xml:space="preserve">,</w:t>
      </w:r>
      <w:r>
        <w:t xml:space="preserve"> </w:t>
      </w:r>
      <w:r>
        <w:rPr>
          <w:bCs/>
          <w:b/>
        </w:rPr>
        <w:t xml:space="preserve">xyfkrqggkk</w:t>
      </w:r>
      <w:r>
        <w:t xml:space="preserve"> </w:t>
      </w:r>
      <w:r>
        <w:t xml:space="preserve">is recommended to:</w:t>
      </w:r>
    </w:p>
    <w:p>
      <w:pPr>
        <w:numPr>
          <w:ilvl w:val="0"/>
          <w:numId w:val="1010"/>
        </w:numPr>
        <w:pStyle w:val="Compact"/>
      </w:pPr>
      <w:r>
        <w:rPr>
          <w:bCs/>
          <w:b/>
        </w:rPr>
        <w:t xml:space="preserve">Collect Primary Data:</w:t>
      </w:r>
      <w:r>
        <w:t xml:space="preserve"> </w:t>
      </w:r>
      <w:r>
        <w:t xml:space="preserve">Prioritize collecting precise primary data for all material quantities, energy consumption, and specific transport routes and modes. This includes detailed data from suppliers for Tier 1 and beyond.</w:t>
      </w:r>
    </w:p>
    <w:p>
      <w:pPr>
        <w:numPr>
          <w:ilvl w:val="0"/>
          <w:numId w:val="1010"/>
        </w:numPr>
        <w:pStyle w:val="Compact"/>
      </w:pPr>
      <w:r>
        <w:rPr>
          <w:bCs/>
          <w:b/>
        </w:rPr>
        <w:t xml:space="preserve">Refine Emission Factors:</w:t>
      </w:r>
      <w:r>
        <w:t xml:space="preserve"> </w:t>
      </w:r>
      <w:r>
        <w:t xml:space="preserve">Utilize product-specific and region-specific emission factors from reputable databases (e.g., Ecoinvent, Greet, DEFRA) rather than generic averages.</w:t>
      </w:r>
    </w:p>
    <w:p>
      <w:pPr>
        <w:numPr>
          <w:ilvl w:val="0"/>
          <w:numId w:val="1010"/>
        </w:numPr>
        <w:pStyle w:val="Compact"/>
      </w:pPr>
      <w:r>
        <w:rPr>
          <w:bCs/>
          <w:b/>
        </w:rPr>
        <w:t xml:space="preserve">Optimize Use Phase:</w:t>
      </w:r>
      <w:r>
        <w:t xml:space="preserve"> </w:t>
      </w:r>
      <w:r>
        <w:t xml:space="preserve">Investigate opportunities to reduce `vsseexnuye` (energy consumption in use) through design innovations, energy-efficient components, and user behavior guidance. Consider extending `pftnrxqyrh` (product lifespan) further.</w:t>
      </w:r>
    </w:p>
    <w:p>
      <w:pPr>
        <w:numPr>
          <w:ilvl w:val="0"/>
          <w:numId w:val="1010"/>
        </w:numPr>
        <w:pStyle w:val="Compact"/>
      </w:pPr>
      <w:r>
        <w:rPr>
          <w:bCs/>
          <w:b/>
        </w:rPr>
        <w:t xml:space="preserve">Material Decarbonization:</w:t>
      </w:r>
      <w:r>
        <w:t xml:space="preserve"> </w:t>
      </w:r>
      <w:r>
        <w:t xml:space="preserve">Explore lower-carbon alternatives for high-impact materials identified in the BOM. Engage with suppliers to understand and reduce their embedded emissions.</w:t>
      </w:r>
    </w:p>
    <w:p>
      <w:pPr>
        <w:numPr>
          <w:ilvl w:val="0"/>
          <w:numId w:val="1010"/>
        </w:numPr>
        <w:pStyle w:val="Compact"/>
      </w:pPr>
      <w:r>
        <w:rPr>
          <w:bCs/>
          <w:b/>
        </w:rPr>
        <w:t xml:space="preserve">Logistics Optimization:</w:t>
      </w:r>
      <w:r>
        <w:t xml:space="preserve"> </w:t>
      </w:r>
      <w:r>
        <w:t xml:space="preserve">Optimize transport modes and routes, favoring lower-emission options (e.g., rail over road, electric vehicles for last-mile) and consolidating shipments to reduce `jrtlwjfkze` and associated emissions.</w:t>
      </w:r>
    </w:p>
    <w:p>
      <w:pPr>
        <w:numPr>
          <w:ilvl w:val="0"/>
          <w:numId w:val="1010"/>
        </w:numPr>
        <w:pStyle w:val="Compact"/>
      </w:pPr>
      <w:r>
        <w:rPr>
          <w:bCs/>
          <w:b/>
        </w:rPr>
        <w:t xml:space="preserve">Strengthen Circularity:</w:t>
      </w:r>
      <w:r>
        <w:t xml:space="preserve"> </w:t>
      </w:r>
      <w:r>
        <w:t xml:space="preserve">Further develop and promote `fmktphzjwe` (circular/take-back programs) to maximize material recovery, reuse, and closed-loop recycling, aiming to increase `vodtrlegwj` beyond current levels.</w:t>
      </w:r>
    </w:p>
    <w:p>
      <w:pPr>
        <w:numPr>
          <w:ilvl w:val="0"/>
          <w:numId w:val="1010"/>
        </w:numPr>
        <w:pStyle w:val="Compact"/>
      </w:pPr>
      <w:r>
        <w:rPr>
          <w:bCs/>
          <w:b/>
        </w:rPr>
        <w:t xml:space="preserve">Supplier Engagement:</w:t>
      </w:r>
      <w:r>
        <w:t xml:space="preserve"> </w:t>
      </w:r>
      <w:r>
        <w:t xml:space="preserve">Implement a robust supplier engagement program to gather accurate Scope 3 emissions data and collaborate on decarbonization efforts across the supply chain.</w:t>
      </w:r>
    </w:p>
    <w:p>
      <w:pPr>
        <w:numPr>
          <w:ilvl w:val="0"/>
          <w:numId w:val="1010"/>
        </w:numPr>
        <w:pStyle w:val="Compact"/>
      </w:pPr>
      <w:r>
        <w:rPr>
          <w:bCs/>
          <w:b/>
        </w:rPr>
        <w:t xml:space="preserve">LSR Integration:</w:t>
      </w:r>
      <w:r>
        <w:t xml:space="preserve"> </w:t>
      </w:r>
      <w:r>
        <w:t xml:space="preserve">For any bio-based materials, ensure accurate accounting of land use change emissions and removals as per the 2026 LSR Standard.</w:t>
      </w:r>
    </w:p>
    <w:p>
      <w:r>
        <w:pict>
          <v:rect style="width:0;height:1.5pt" o:hralign="center" o:hrstd="t" o:hr="t"/>
        </w:pict>
      </w:r>
    </w:p>
    <w:p>
      <w:pPr>
        <w:pStyle w:val="FirstParagraph"/>
      </w:pPr>
      <w:r>
        <w:t xml:space="preserve">Confidential - Internal Use Only | Page</w:t>
      </w:r>
      <w:r>
        <w:t xml:space="preserve"> </w:t>
      </w:r>
      <w:bookmarkStart w:id="35" w:name="page-num"/>
      <w:r>
        <w:t xml:space="preserve">1</w:t>
      </w:r>
      <w:bookmarkEnd w:id="35"/>
      <w:r>
        <w:t xml:space="preserve"> </w:t>
      </w:r>
      <w:r>
        <w:t xml:space="preserve">of</w:t>
      </w:r>
      <w:r>
        <w:t xml:space="preserve"> </w:t>
      </w:r>
      <w:bookmarkStart w:id="36" w:name="total-pages"/>
      <w:r>
        <w:t xml:space="preserve">X</w:t>
      </w:r>
      <w:bookmarkEnd w:id="36"/>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wiergqfprf</dc:title>
  <dc:creator/>
  <dc:description>Detailed Product Carbon Footprint (PCF) analysis report for wiergqfprf by xyfkrqggkk, following GHG Protocol standards and 2026 LSR updates.</dc:description>
  <cp:keywords/>
  <dcterms:created xsi:type="dcterms:W3CDTF">2026-07-15T13:34:04Z</dcterms:created>
  <dcterms:modified xsi:type="dcterms:W3CDTF">2026-07-15T13:34:04Z</dcterms:modified>
</cp:coreProperties>
</file>

<file path=docProps/custom.xml><?xml version="1.0" encoding="utf-8"?>
<Properties xmlns="http://schemas.openxmlformats.org/officeDocument/2006/custom-properties" xmlns:vt="http://schemas.openxmlformats.org/officeDocument/2006/docPropsVTypes"/>
</file>