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WidgetX</w:t>
      </w:r>
      <w:r>
        <w:t xml:space="preserve"> </w:t>
      </w:r>
      <w:r>
        <w:t xml:space="preserve">(hhzxqetjoo)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hhzxqetjoo"/>
    <w:p>
      <w:pPr>
        <w:pStyle w:val="Heading2"/>
      </w:pPr>
      <w:r>
        <w:t xml:space="preserve">for hhzxqetjoo</w:t>
      </w:r>
    </w:p>
    <w:p>
      <w:pPr>
        <w:pStyle w:val="FirstParagraph"/>
      </w:pPr>
      <w:r>
        <w:rPr>
          <w:bCs/>
          <w:b/>
        </w:rPr>
        <w:t xml:space="preserve">Company Name:</w:t>
      </w:r>
      <w:r>
        <w:t xml:space="preserve"> </w:t>
      </w:r>
      <w:r>
        <w:t xml:space="preserve">jmdventpgk</w:t>
      </w:r>
    </w:p>
    <w:p>
      <w:pPr>
        <w:pStyle w:val="BodyText"/>
      </w:pPr>
      <w:r>
        <w:rPr>
          <w:bCs/>
          <w:b/>
        </w:rPr>
        <w:t xml:space="preserve">Senior Sustainability Consultant:</w:t>
      </w:r>
      <w:r>
        <w:t xml:space="preserve"> </w:t>
      </w:r>
      <w:r>
        <w:t xml:space="preserve">opnlsuqkfz</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actual emissions may vary based on specific operational details and dynamic factors.</w:t>
      </w:r>
    </w:p>
    <w:bookmarkEnd w:id="20"/>
    <w:bookmarkEnd w:id="21"/>
    <w:p>
      <w:r>
        <w:pict>
          <v:rect style="width:0;height:1.5pt" o:hralign="center" o:hrstd="t" o:hr="t"/>
        </w:pict>
      </w:r>
    </w:p>
    <w:bookmarkStart w:id="45" w:name="Xaf3d7feb39f22c42b6256471dae08fdf3a3bbee"/>
    <w:p>
      <w:pPr>
        <w:pStyle w:val="Heading1"/>
      </w:pPr>
      <w:r>
        <w:t xml:space="preserve">Product Carbon Footprint Report: hhzxqetjoo</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opnlsuqkfz</w:t>
      </w:r>
    </w:p>
    <w:p>
      <w:pPr>
        <w:pStyle w:val="BodyText"/>
      </w:pPr>
      <w:r>
        <w:rPr>
          <w:bCs/>
          <w:b/>
        </w:rPr>
        <w:t xml:space="preserve">Company Name:</w:t>
      </w:r>
      <w:r>
        <w:t xml:space="preserve"> </w:t>
      </w:r>
      <w:r>
        <w:t xml:space="preserve">jmdventpgk</w:t>
      </w:r>
    </w:p>
    <w:p>
      <w:pPr>
        <w:pStyle w:val="BodyText"/>
      </w:pPr>
      <w:r>
        <w:t xml:space="preserve">This report details a high-detail Product Carbon Footprint (PCF) analysis for the product hhzxqetjoo, conducted in accordance with the GHG Protocol and incorporating the latest 2026 Land Sector and Removals (LSR) Standard updates. The analysis provides a comprehensive understanding of the greenhouse gas emissions associated with the product\'s lifecycle.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for hhzxqetjoo by jmdventpgk reveals a total carbon footprint of approximately</w:t>
      </w:r>
      <w:r>
        <w:t xml:space="preserve"> </w:t>
      </w:r>
      <w:r>
        <w:rPr>
          <w:bCs/>
          <w:b/>
        </w:rPr>
        <w:t xml:space="preserve">20.92 kg CO2e per functional unit</w:t>
      </w:r>
      <w:r>
        <w:t xml:space="preserve">. The most significant emission hotspots are identified in the purchased goods and services (materials) and the product\'s use phase. The company\'s commitment to renewable energy in production and robust circular/take-back programs significantly mitigates the overall impact, particularly at the end-of-life stage, which shows a net carbon removal due to high recyclability. Adherence to the GHG Protocol ensures a robust and transparent accounting of emissions across Scope 1, 2, and 3 categories, with a strong focus on achieving at least 95% coverage for Scope 3 emissions as per 2026 requirements.</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first step in this PCF analysis involved clearly defining the parameters and boundaries for consistent and accurate measurement.</w:t>
      </w:r>
    </w:p>
    <w:p>
      <w:pPr>
        <w:numPr>
          <w:ilvl w:val="0"/>
          <w:numId w:val="1001"/>
        </w:numPr>
        <w:pStyle w:val="Compact"/>
      </w:pPr>
      <w:r>
        <w:rPr>
          <w:bCs/>
          <w:b/>
        </w:rPr>
        <w:t xml:space="preserve">Functional Unit:</w:t>
      </w:r>
      <w:r>
        <w:t xml:space="preserve"> </w:t>
      </w:r>
      <w:r>
        <w:t xml:space="preserve">1.0 unit of hhzxqetjoo. This represents the reference unit to which all inputs and outputs of the lifecycle inventory are related.</w:t>
      </w:r>
    </w:p>
    <w:p>
      <w:pPr>
        <w:numPr>
          <w:ilvl w:val="0"/>
          <w:numId w:val="1001"/>
        </w:numPr>
        <w:pStyle w:val="Compact"/>
      </w:pPr>
      <w:r>
        <w:rPr>
          <w:bCs/>
          <w:b/>
        </w:rPr>
        <w:t xml:space="preserve">System Boundary:</w:t>
      </w:r>
      <w:r>
        <w:t xml:space="preserve"> </w:t>
      </w:r>
      <w:r>
        <w:t xml:space="preserve">factory_gate. This "cradle-to-gate" boundary means the analysis includes all processes from raw material extraction, through manufacturing and assembly, up to the point the finished product leaves the factory gate. However, for a comprehensive PCF, downstream stages (transportation, use, and end-of-life) are also included in the Scope 3 calculations.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components and materials. This geographical context influences energy grid emission factors and transportation distances.</w:t>
      </w:r>
    </w:p>
    <w:p>
      <w:pPr>
        <w:numPr>
          <w:ilvl w:val="0"/>
          <w:numId w:val="1001"/>
        </w:numPr>
        <w:pStyle w:val="Compact"/>
      </w:pPr>
      <w:r>
        <w:rPr>
          <w:bCs/>
          <w:b/>
        </w:rPr>
        <w:t xml:space="preserve">Allocation:</w:t>
      </w:r>
      <w:r>
        <w:t xml:space="preserve"> </w:t>
      </w:r>
      <w:r>
        <w:t xml:space="preserve">Where shared processes or facilities are involved, emissions are allocated to hhzxqetjoo based on mass (for materials and transport) or energy consumption (for production and use phase).</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3">
        <w:r>
          <w:rPr>
            <w:rStyle w:val="Hyperlink"/>
          </w:rPr>
          <w:t xml:space="preserve">GHG Protocol Product Standard</w:t>
        </w:r>
      </w:hyperlink>
      <w:r>
        <w:t xml:space="preserve"> </w:t>
      </w:r>
      <w:r>
        <w:t xml:space="preserve">for consistency, comparability, and transparency in reporting. Emissions are categorized into Scope 1 (direct), Scope 2 (purchased energy), and Scope 3 (value chain) emissions.</w:t>
      </w:r>
    </w:p>
    <w:p>
      <w:r>
        <w:pict>
          <v:rect style="width:0;height:1.5pt" o:hralign="center" o:hrstd="t" o:hr="t"/>
        </w:pict>
      </w:r>
    </w:p>
    <w:bookmarkEnd w:id="24"/>
    <w:bookmarkStart w:id="31" w:name="X7f632789b9c60d7908f0b0dc7a7527c35d8a1d8"/>
    <w:p>
      <w:pPr>
        <w:pStyle w:val="Heading2"/>
      </w:pPr>
      <w:r>
        <w:t xml:space="preserve">2. &amp; 3. Map Lifecycle &amp; Collect Data (LCI Inventory Stages)</w:t>
      </w:r>
    </w:p>
    <w:p>
      <w:pPr>
        <w:pStyle w:val="FirstParagraph"/>
      </w:pPr>
      <w:r>
        <w:t xml:space="preserve">The lifecycle mapping identifies all stages where emissions occur, from raw material acquisition to end-of-life. Data collection involved utilizing primary data points provided and supplementing with industry-standard secondary data where necessary.</w:t>
      </w:r>
    </w:p>
    <w:bookmarkStart w:id="25" w:name="X3be87110e85e1a78d1941d087c2ff488d167d37"/>
    <w:p>
      <w:pPr>
        <w:pStyle w:val="Heading3"/>
      </w:pPr>
      <w:r>
        <w:t xml:space="preserve">Detailed Bill of Materials (BOM) - Primary Data: xnhrxxfo</w:t>
      </w:r>
    </w:p>
    <w:p>
      <w:pPr>
        <w:pStyle w:val="FirstParagraph"/>
      </w:pPr>
      <w:r>
        <w:t xml:space="preserve">The detailed Bill of Materials (BOM) provides specific data for material inputs, crucial for accurate material impact calculation. The \'Total Carbon\' for each item, expressed in kg CO2e, already incorporates the upstream impacts (cradle-to-gate for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2.25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4.0</w:t>
            </w:r>
          </w:p>
        </w:tc>
      </w:tr>
      <w:tr>
        <w:tc>
          <w:tcPr/>
          <w:p>
            <w:pPr>
              <w:pStyle w:val="Compact"/>
              <w:jc w:val="left"/>
            </w:pPr>
            <w:r>
              <w:t xml:space="preserve">4</w:t>
            </w:r>
          </w:p>
        </w:tc>
        <w:tc>
          <w:tcPr/>
          <w:p>
            <w:pPr>
              <w:pStyle w:val="Compact"/>
              <w:jc w:val="left"/>
            </w:pPr>
            <w:r>
              <w:t xml:space="preserve">Plastic Buttons</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0.15</w:t>
            </w:r>
          </w:p>
        </w:tc>
      </w:tr>
    </w:tbl>
    <w:p>
      <w:pPr>
        <w:pStyle w:val="BodyText"/>
      </w:pPr>
      <w:r>
        <w:rPr>
          <w:bCs/>
          <w:b/>
        </w:rPr>
        <w:t xml:space="preserve">Total Material Carbon Impact:</w:t>
      </w:r>
      <w:r>
        <w:t xml:space="preserve"> </w:t>
      </w:r>
      <w:r>
        <w:t xml:space="preserve">10.4 kg CO2e</w:t>
      </w:r>
    </w:p>
    <w:p>
      <w:pPr>
        <w:pStyle w:val="BodyText"/>
      </w:pPr>
      <w:r>
        <w:rPr>
          <w:bCs/>
          <w:b/>
        </w:rPr>
        <w:t xml:space="preserve">Total Product Weight (sum of Qty):</w:t>
      </w:r>
      <w:r>
        <w:t xml:space="preserve"> </w:t>
      </w:r>
      <w:r>
        <w:t xml:space="preserve">1.2 kg</w:t>
      </w:r>
    </w:p>
    <w:bookmarkEnd w:id="25"/>
    <w:bookmarkStart w:id="26" w:name="production-energy-inputs---primary-data"/>
    <w:p>
      <w:pPr>
        <w:pStyle w:val="Heading3"/>
      </w:pPr>
      <w:r>
        <w:t xml:space="preserve">Production Energy Inputs - Primary Data</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electricity used:</w:t>
      </w:r>
      <w:r>
        <w:t xml:space="preserve"> </w:t>
      </w:r>
      <w:r>
        <w:t xml:space="preserve">10 kWh/unit * (1 - 0.60) = 4 kWh/unit</w:t>
      </w:r>
    </w:p>
    <w:bookmarkEnd w:id="26"/>
    <w:bookmarkStart w:id="27" w:name="logistics-data---primary-data"/>
    <w:p>
      <w:pPr>
        <w:pStyle w:val="Heading3"/>
      </w:pPr>
      <w:r>
        <w:t xml:space="preserve">Logistics Data - Primary Data</w:t>
      </w:r>
    </w:p>
    <w:p>
      <w:pPr>
        <w:numPr>
          <w:ilvl w:val="0"/>
          <w:numId w:val="1003"/>
        </w:numPr>
        <w:pStyle w:val="Compact"/>
      </w:pPr>
      <w:r>
        <w:rPr>
          <w:bCs/>
          <w:b/>
        </w:rPr>
        <w:t xml:space="preserve">Main Transport Mode:</w:t>
      </w:r>
      <w:r>
        <w:t xml:space="preserve"> </w:t>
      </w:r>
      <w:r>
        <w:t xml:space="preserve">Ocean Freight (Container)</w:t>
      </w:r>
    </w:p>
    <w:p>
      <w:pPr>
        <w:numPr>
          <w:ilvl w:val="0"/>
          <w:numId w:val="1003"/>
        </w:numPr>
        <w:pStyle w:val="Compact"/>
      </w:pPr>
      <w:r>
        <w:rPr>
          <w:bCs/>
          <w:b/>
        </w:rPr>
        <w:t xml:space="preserve">Main Transport Distance:</w:t>
      </w:r>
      <w:r>
        <w:t xml:space="preserve"> </w:t>
      </w:r>
      <w:r>
        <w:t xml:space="preserve">12000 km</w:t>
      </w:r>
    </w:p>
    <w:p>
      <w:pPr>
        <w:numPr>
          <w:ilvl w:val="0"/>
          <w:numId w:val="1003"/>
        </w:numPr>
        <w:pStyle w:val="Compact"/>
      </w:pPr>
      <w:r>
        <w:rPr>
          <w:bCs/>
          <w:b/>
        </w:rPr>
        <w:t xml:space="preserve">Last-Mile Delivery Channel:</w:t>
      </w:r>
      <w:r>
        <w:t xml:space="preserve"> </w:t>
      </w:r>
      <w:r>
        <w:t xml:space="preserve">Road Freight (Light Commercial Vehicle)</w:t>
      </w:r>
    </w:p>
    <w:p>
      <w:pPr>
        <w:numPr>
          <w:ilvl w:val="0"/>
          <w:numId w:val="1003"/>
        </w:numPr>
        <w:pStyle w:val="Compact"/>
      </w:pPr>
      <w:r>
        <w:rPr>
          <w:bCs/>
          <w:b/>
        </w:rPr>
        <w:t xml:space="preserve">Last-Mile Delivery Distance (Assumed for calculation):</w:t>
      </w:r>
      <w:r>
        <w:t xml:space="preserve"> </w:t>
      </w:r>
      <w:r>
        <w:t xml:space="preserve">100 km</w:t>
      </w:r>
    </w:p>
    <w:bookmarkEnd w:id="27"/>
    <w:bookmarkStart w:id="28" w:name="use-phase-data---primary-data"/>
    <w:p>
      <w:pPr>
        <w:pStyle w:val="Heading3"/>
      </w:pPr>
      <w:r>
        <w:t xml:space="preserve">Use Phase Data - Primary Data</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5 kWh/year</w:t>
      </w:r>
    </w:p>
    <w:bookmarkEnd w:id="28"/>
    <w:bookmarkStart w:id="29" w:name="end-of-life-eol-scenarios---primary-data"/>
    <w:p>
      <w:pPr>
        <w:pStyle w:val="Heading3"/>
      </w:pPr>
      <w:r>
        <w:t xml:space="preserve">End-of-Life (EoL) Scenarios - Primary Data</w:t>
      </w:r>
    </w:p>
    <w:p>
      <w:pPr>
        <w:numPr>
          <w:ilvl w:val="0"/>
          <w:numId w:val="1005"/>
        </w:numPr>
        <w:pStyle w:val="Compact"/>
      </w:pPr>
      <w:r>
        <w:rPr>
          <w:bCs/>
          <w:b/>
        </w:rPr>
        <w:t xml:space="preserve">Recyclability Percentage:</w:t>
      </w:r>
      <w:r>
        <w:t xml:space="preserve"> </w:t>
      </w:r>
      <w:r>
        <w:t xml:space="preserve">85%</w:t>
      </w:r>
    </w:p>
    <w:p>
      <w:pPr>
        <w:numPr>
          <w:ilvl w:val="0"/>
          <w:numId w:val="1005"/>
        </w:numPr>
        <w:pStyle w:val="Compact"/>
      </w:pPr>
      <w:r>
        <w:rPr>
          <w:bCs/>
          <w:b/>
        </w:rPr>
        <w:t xml:space="preserve">Circular/Take-back Programs:</w:t>
      </w:r>
      <w:r>
        <w:t xml:space="preserve"> </w:t>
      </w:r>
      <w:r>
        <w:t xml:space="preserve">Company offers a take-back program for end-of-life products, aiming for material recovery and refurbishment.</w:t>
      </w:r>
    </w:p>
    <w:bookmarkEnd w:id="29"/>
    <w:bookmarkStart w:id="30" w:name="Xfd190ead450c5441699ac860d3680a183c406c6"/>
    <w:p>
      <w:pPr>
        <w:pStyle w:val="Heading3"/>
      </w:pPr>
      <w:r>
        <w:t xml:space="preserve">Secondary Data - Emission Factors (Illustrative, from Ecoinvent/DEFRA equivalents)</w:t>
      </w:r>
    </w:p>
    <w:p>
      <w:pPr>
        <w:pStyle w:val="FirstParagraph"/>
      </w:pPr>
      <w:r>
        <w:t xml:space="preserve">For stages where primary emission factors were not provided, industry-standard average emission factors were applied:</w:t>
      </w:r>
    </w:p>
    <w:p>
      <w:pPr>
        <w:numPr>
          <w:ilvl w:val="0"/>
          <w:numId w:val="1006"/>
        </w:numPr>
        <w:pStyle w:val="Compact"/>
      </w:pPr>
      <w:r>
        <w:rPr>
          <w:bCs/>
          <w:b/>
        </w:rPr>
        <w:t xml:space="preserve">China Electricity Grid Emission Factor (illustrative):</w:t>
      </w:r>
      <w:r>
        <w:t xml:space="preserve"> </w:t>
      </w:r>
      <w:r>
        <w:t xml:space="preserve">0.5 kg CO2e/kWh (for non-renewable portion)</w:t>
      </w:r>
    </w:p>
    <w:p>
      <w:pPr>
        <w:numPr>
          <w:ilvl w:val="0"/>
          <w:numId w:val="1006"/>
        </w:numPr>
        <w:pStyle w:val="Compact"/>
      </w:pPr>
      <w:r>
        <w:rPr>
          <w:bCs/>
          <w:b/>
        </w:rPr>
        <w:t xml:space="preserve">Ocean Freight (Container, average):</w:t>
      </w:r>
      <w:r>
        <w:t xml:space="preserve"> </w:t>
      </w:r>
      <w:r>
        <w:t xml:space="preserve">0.016 kg CO2e/tkm</w:t>
      </w:r>
    </w:p>
    <w:p>
      <w:pPr>
        <w:numPr>
          <w:ilvl w:val="0"/>
          <w:numId w:val="1006"/>
        </w:numPr>
        <w:pStyle w:val="Compact"/>
      </w:pPr>
      <w:r>
        <w:rPr>
          <w:bCs/>
          <w:b/>
        </w:rPr>
        <w:t xml:space="preserve">Road Freight (Light Commercial Vehicle, for last mile):</w:t>
      </w:r>
      <w:r>
        <w:t xml:space="preserve"> </w:t>
      </w:r>
      <w:r>
        <w:t xml:space="preserve">0.105 kg CO2e/tkm (illustrative, for 1 tonne-kilometer)</w:t>
      </w:r>
    </w:p>
    <w:p>
      <w:pPr>
        <w:numPr>
          <w:ilvl w:val="0"/>
          <w:numId w:val="1006"/>
        </w:numPr>
        <w:pStyle w:val="Compact"/>
      </w:pPr>
      <w:r>
        <w:rPr>
          <w:bCs/>
          <w:b/>
        </w:rPr>
        <w:t xml:space="preserve">User Electricity Mix Emission Factor (EU average illustrative):</w:t>
      </w:r>
      <w:r>
        <w:t xml:space="preserve"> </w:t>
      </w:r>
      <w:r>
        <w:t xml:space="preserve">0.25 kg CO2e/kWh</w:t>
      </w:r>
    </w:p>
    <w:p>
      <w:pPr>
        <w:numPr>
          <w:ilvl w:val="0"/>
          <w:numId w:val="1006"/>
        </w:numPr>
        <w:pStyle w:val="Compact"/>
      </w:pPr>
      <w:r>
        <w:rPr>
          <w:bCs/>
          <w:b/>
        </w:rPr>
        <w:t xml:space="preserve">Landfilling Emission Factor (illustrative):</w:t>
      </w:r>
      <w:r>
        <w:t xml:space="preserve"> </w:t>
      </w:r>
      <w:r>
        <w:t xml:space="preserve">0.2 kg CO2e/kg (for non-recyclable waste)</w:t>
      </w:r>
    </w:p>
    <w:p>
      <w:pPr>
        <w:numPr>
          <w:ilvl w:val="0"/>
          <w:numId w:val="1006"/>
        </w:numPr>
        <w:pStyle w:val="Compact"/>
      </w:pPr>
      <w:r>
        <w:rPr>
          <w:bCs/>
          <w:b/>
        </w:rPr>
        <w:t xml:space="preserve">Recycling Credit Factor (illustrative):</w:t>
      </w:r>
      <w:r>
        <w:t xml:space="preserve"> </w:t>
      </w:r>
      <w:r>
        <w:t xml:space="preserve">-0.5 kg CO2e/kg (carbon saved per kg of material recycled, due to displacement of virgin material)</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standards. All calculations are for a functional unit of 1.0 product unit of hhzxqetjoo.</w:t>
      </w:r>
    </w:p>
    <w:bookmarkStart w:id="32" w:name="scope-1-emissions-direct-emissions"/>
    <w:p>
      <w:pPr>
        <w:pStyle w:val="Heading3"/>
      </w:pPr>
      <w:r>
        <w:t xml:space="preserve">Scope 1 Emissions (Direct Emissions)</w:t>
      </w:r>
    </w:p>
    <w:p>
      <w:pPr>
        <w:pStyle w:val="FirstParagraph"/>
      </w:pPr>
      <w:r>
        <w:t xml:space="preserve">For this product-specific analysis, no direct fuel combustion emissions from manufacturing processes (e.g., owned vehicles, on-site fuel use) were identified as directly attributable to the functional unit and thus calculated as 0 kg CO2e. Any such emissions would typically fall under organizational Scope 1 but require specific allocation to the product.</w:t>
      </w:r>
    </w:p>
    <w:p>
      <w:pPr>
        <w:pStyle w:val="BodyText"/>
      </w:pPr>
      <w:r>
        <w:rPr>
          <w:bCs/>
          <w:b/>
        </w:rPr>
        <w:t xml:space="preserve">Total Scope 1 Emissions: 0.0 kg CO2e</w:t>
      </w:r>
    </w:p>
    <w:bookmarkEnd w:id="32"/>
    <w:bookmarkStart w:id="33" w:name="Xdcb69c89a2d5b7d56bbdc01f79a116e1def7079"/>
    <w:p>
      <w:pPr>
        <w:pStyle w:val="Heading3"/>
      </w:pPr>
      <w:r>
        <w:t xml:space="preserve">Scope 2 Emissions (Purchased Electricity for Production)</w:t>
      </w:r>
    </w:p>
    <w:p>
      <w:pPr>
        <w:pStyle w:val="FirstParagraph"/>
      </w:pPr>
      <w:r>
        <w:t xml:space="preserve">These emissions arise from the generation of purchased electricity consumed during the product\'s manufacturing phase.</w:t>
      </w:r>
    </w:p>
    <w:p>
      <w:pPr>
        <w:numPr>
          <w:ilvl w:val="0"/>
          <w:numId w:val="1007"/>
        </w:numPr>
        <w:pStyle w:val="Compact"/>
      </w:pPr>
      <w:r>
        <w:t xml:space="preserve">Energy Intensity: 10 kWh/unit</w:t>
      </w:r>
    </w:p>
    <w:p>
      <w:pPr>
        <w:numPr>
          <w:ilvl w:val="0"/>
          <w:numId w:val="1007"/>
        </w:numPr>
        <w:pStyle w:val="Compact"/>
      </w:pPr>
      <w:r>
        <w:t xml:space="preserve">Renewable Energy Usage: 60%</w:t>
      </w:r>
    </w:p>
    <w:p>
      <w:pPr>
        <w:numPr>
          <w:ilvl w:val="0"/>
          <w:numId w:val="1007"/>
        </w:numPr>
        <w:pStyle w:val="Compact"/>
      </w:pPr>
      <w:r>
        <w:t xml:space="preserve">Non-renewable Electricity: 10 kWh/unit * (1 - 0.60) = 4 kWh/unit</w:t>
      </w:r>
    </w:p>
    <w:p>
      <w:pPr>
        <w:numPr>
          <w:ilvl w:val="0"/>
          <w:numId w:val="1007"/>
        </w:numPr>
        <w:pStyle w:val="Compact"/>
      </w:pPr>
      <w:r>
        <w:t xml:space="preserve">China Grid Emission Factor (illustrative): 0.5 kg CO2e/kWh</w:t>
      </w:r>
    </w:p>
    <w:p>
      <w:pPr>
        <w:numPr>
          <w:ilvl w:val="0"/>
          <w:numId w:val="1007"/>
        </w:numPr>
        <w:pStyle w:val="Compact"/>
      </w:pPr>
      <w:r>
        <w:t xml:space="preserve">Calculation: 4 kWh/unit * 0.5 kg CO2e/kWh = 2.0 kg CO2e/unit</w:t>
      </w:r>
    </w:p>
    <w:p>
      <w:pPr>
        <w:pStyle w:val="FirstParagraph"/>
      </w:pPr>
      <w:r>
        <w:rPr>
          <w:bCs/>
          <w:b/>
        </w:rPr>
        <w:t xml:space="preserve">Total Scope 2 Emissions: 2.0 kg CO2e</w:t>
      </w:r>
    </w:p>
    <w:bookmarkEnd w:id="33"/>
    <w:bookmarkStart w:id="38" w:name="scope-3-emissions-value-chain-emissions"/>
    <w:p>
      <w:pPr>
        <w:pStyle w:val="Heading3"/>
      </w:pPr>
      <w:r>
        <w:t xml:space="preserve">Scope 3 Emissions (Value Chain Emissions)</w:t>
      </w:r>
    </w:p>
    <w:p>
      <w:pPr>
        <w:pStyle w:val="FirstParagraph"/>
      </w:pPr>
      <w:r>
        <w:t xml:space="preserve">Scope 3 emissions cover all indirect emissions not included in Scope 2 that occur in the value chain of the reporting company, both upstream and downstream. This analysis aims for at least 95% coverage as per 2026 requirements.</w:t>
      </w:r>
    </w:p>
    <w:bookmarkStart w:id="34"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that constitute the product. The \'Total Carbon\' values provided in the BOM are directly used.</w:t>
      </w:r>
    </w:p>
    <w:p>
      <w:pPr>
        <w:numPr>
          <w:ilvl w:val="0"/>
          <w:numId w:val="1008"/>
        </w:numPr>
        <w:pStyle w:val="Compact"/>
      </w:pPr>
      <w:r>
        <w:t xml:space="preserve">Total Material Carbon Impact: 10.4 kg CO2e</w:t>
      </w:r>
    </w:p>
    <w:p>
      <w:pPr>
        <w:pStyle w:val="FirstParagraph"/>
      </w:pPr>
      <w:r>
        <w:rPr>
          <w:bCs/>
          <w:b/>
        </w:rPr>
        <w:t xml:space="preserve">Total Scope 3 - Purchased Goods and Services: 10.4 kg CO2e</w:t>
      </w:r>
    </w:p>
    <w:bookmarkEnd w:id="34"/>
    <w:bookmarkStart w:id="35" w:name="Xaa969e343a7577cc2b615509976030d42d2a4da"/>
    <w:p>
      <w:pPr>
        <w:pStyle w:val="Heading4"/>
      </w:pPr>
      <w:r>
        <w:t xml:space="preserve">Category 4: Upstream and Downstream Transportation and Distribution</w:t>
      </w:r>
    </w:p>
    <w:p>
      <w:pPr>
        <w:pStyle w:val="FirstParagraph"/>
      </w:pPr>
      <w:r>
        <w:t xml:space="preserve">This includes emissions from transporting materials to the factory (upstream, often embedded in material EFs) and finished products from the factory to the customer (downstream).</w:t>
      </w:r>
    </w:p>
    <w:p>
      <w:pPr>
        <w:numPr>
          <w:ilvl w:val="0"/>
          <w:numId w:val="1009"/>
        </w:numPr>
        <w:pStyle w:val="Compact"/>
      </w:pPr>
      <w:r>
        <w:t xml:space="preserve">Product Weight: 1.2 kg (0.0012 tonnes)</w:t>
      </w:r>
    </w:p>
    <w:p>
      <w:pPr>
        <w:numPr>
          <w:ilvl w:val="0"/>
          <w:numId w:val="1009"/>
        </w:numPr>
        <w:pStyle w:val="Compact"/>
      </w:pPr>
      <w:r>
        <w:rPr>
          <w:bCs/>
          <w:b/>
        </w:rPr>
        <w:t xml:space="preserve">Upstream Transport of Finished Product (from factory to central distribution):</w:t>
      </w:r>
    </w:p>
    <w:p>
      <w:pPr>
        <w:numPr>
          <w:ilvl w:val="1"/>
          <w:numId w:val="1010"/>
        </w:numPr>
        <w:pStyle w:val="Compact"/>
      </w:pPr>
      <w:r>
        <w:t xml:space="preserve">Mode: Ocean Freight (Container)</w:t>
      </w:r>
    </w:p>
    <w:p>
      <w:pPr>
        <w:numPr>
          <w:ilvl w:val="1"/>
          <w:numId w:val="1010"/>
        </w:numPr>
        <w:pStyle w:val="Compact"/>
      </w:pPr>
      <w:r>
        <w:t xml:space="preserve">Distance: 12000 km</w:t>
      </w:r>
    </w:p>
    <w:p>
      <w:pPr>
        <w:numPr>
          <w:ilvl w:val="1"/>
          <w:numId w:val="1010"/>
        </w:numPr>
        <w:pStyle w:val="Compact"/>
      </w:pPr>
      <w:r>
        <w:t xml:space="preserve">Emission Factor: 0.016 kg CO2e/tkm</w:t>
      </w:r>
    </w:p>
    <w:p>
      <w:pPr>
        <w:numPr>
          <w:ilvl w:val="1"/>
          <w:numId w:val="1010"/>
        </w:numPr>
        <w:pStyle w:val="Compact"/>
      </w:pPr>
      <w:r>
        <w:t xml:space="preserve">Calculation: 0.0012 tonnes * 12000 km * 0.016 kg CO2e/tkm = 0.2304 kg CO2e</w:t>
      </w:r>
    </w:p>
    <w:p>
      <w:pPr>
        <w:numPr>
          <w:ilvl w:val="0"/>
          <w:numId w:val="1009"/>
        </w:numPr>
        <w:pStyle w:val="Compact"/>
      </w:pPr>
      <w:r>
        <w:rPr>
          <w:bCs/>
          <w:b/>
        </w:rPr>
        <w:t xml:space="preserve">Last-Mile Delivery (from central distribution to customer):</w:t>
      </w:r>
    </w:p>
    <w:p>
      <w:pPr>
        <w:numPr>
          <w:ilvl w:val="1"/>
          <w:numId w:val="1011"/>
        </w:numPr>
        <w:pStyle w:val="Compact"/>
      </w:pPr>
      <w:r>
        <w:t xml:space="preserve">Mode: Road Freight (Light Commercial Vehicle)</w:t>
      </w:r>
    </w:p>
    <w:p>
      <w:pPr>
        <w:numPr>
          <w:ilvl w:val="1"/>
          <w:numId w:val="1011"/>
        </w:numPr>
        <w:pStyle w:val="Compact"/>
      </w:pPr>
      <w:r>
        <w:t xml:space="preserve">Distance (Assumed): 100 km</w:t>
      </w:r>
    </w:p>
    <w:p>
      <w:pPr>
        <w:numPr>
          <w:ilvl w:val="1"/>
          <w:numId w:val="1011"/>
        </w:numPr>
        <w:pStyle w:val="Compact"/>
      </w:pPr>
      <w:r>
        <w:t xml:space="preserve">Emission Factor: 0.105 kg CO2e/tkm</w:t>
      </w:r>
    </w:p>
    <w:p>
      <w:pPr>
        <w:numPr>
          <w:ilvl w:val="1"/>
          <w:numId w:val="1011"/>
        </w:numPr>
        <w:pStyle w:val="Compact"/>
      </w:pPr>
      <w:r>
        <w:t xml:space="preserve">Calculation: 0.0012 tonnes * 100 km * 0.105 kg CO2e/tkm = 0.0126 kg CO2e</w:t>
      </w:r>
    </w:p>
    <w:p>
      <w:pPr>
        <w:pStyle w:val="FirstParagraph"/>
      </w:pPr>
      <w:r>
        <w:rPr>
          <w:bCs/>
          <w:b/>
        </w:rPr>
        <w:t xml:space="preserve">Total Scope 3 - Transportation and Distribution: 0.2304 + 0.0126 = 0.243 kg CO2e</w:t>
      </w:r>
    </w:p>
    <w:bookmarkEnd w:id="35"/>
    <w:bookmarkStart w:id="36" w:name="category-11-use-of-sold-products"/>
    <w:p>
      <w:pPr>
        <w:pStyle w:val="Heading4"/>
      </w:pPr>
      <w:r>
        <w:t xml:space="preserve">Category 11: Use of Sold Products</w:t>
      </w:r>
    </w:p>
    <w:p>
      <w:pPr>
        <w:pStyle w:val="FirstParagraph"/>
      </w:pPr>
      <w:r>
        <w:t xml:space="preserve">Emissions generated during the active use phase of the product by the consumer.</w:t>
      </w:r>
    </w:p>
    <w:p>
      <w:pPr>
        <w:numPr>
          <w:ilvl w:val="0"/>
          <w:numId w:val="1012"/>
        </w:numPr>
        <w:pStyle w:val="Compact"/>
      </w:pPr>
      <w:r>
        <w:t xml:space="preserve">Product Lifespan: 7 years</w:t>
      </w:r>
    </w:p>
    <w:p>
      <w:pPr>
        <w:numPr>
          <w:ilvl w:val="0"/>
          <w:numId w:val="1012"/>
        </w:numPr>
        <w:pStyle w:val="Compact"/>
      </w:pPr>
      <w:r>
        <w:t xml:space="preserve">Energy Consumption in Use: 5 kWh/year</w:t>
      </w:r>
    </w:p>
    <w:p>
      <w:pPr>
        <w:numPr>
          <w:ilvl w:val="0"/>
          <w:numId w:val="1012"/>
        </w:numPr>
        <w:pStyle w:val="Compact"/>
      </w:pPr>
      <w:r>
        <w:t xml:space="preserve">User Electricity Mix Emission Factor (illustrative): 0.25 kg CO2e/kWh</w:t>
      </w:r>
    </w:p>
    <w:p>
      <w:pPr>
        <w:numPr>
          <w:ilvl w:val="0"/>
          <w:numId w:val="1012"/>
        </w:numPr>
        <w:pStyle w:val="Compact"/>
      </w:pPr>
      <w:r>
        <w:t xml:space="preserve">Calculation: 7 years * 5 kWh/year * 0.25 kg CO2e/kWh = 8.75 kg CO2e</w:t>
      </w:r>
    </w:p>
    <w:p>
      <w:pPr>
        <w:pStyle w:val="FirstParagraph"/>
      </w:pPr>
      <w:r>
        <w:rPr>
          <w:bCs/>
          <w:b/>
        </w:rPr>
        <w:t xml:space="preserve">Total Scope 3 - Use of Sold Products: 8.75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removals associated with the disposal and treatment of the product at the end of its life, incorporating circular economy impacts.</w:t>
      </w:r>
    </w:p>
    <w:p>
      <w:pPr>
        <w:numPr>
          <w:ilvl w:val="0"/>
          <w:numId w:val="1013"/>
        </w:numPr>
        <w:pStyle w:val="Compact"/>
      </w:pPr>
      <w:r>
        <w:t xml:space="preserve">Product Weight: 1.2 kg</w:t>
      </w:r>
    </w:p>
    <w:p>
      <w:pPr>
        <w:numPr>
          <w:ilvl w:val="0"/>
          <w:numId w:val="1013"/>
        </w:numPr>
        <w:pStyle w:val="Compact"/>
      </w:pPr>
      <w:r>
        <w:t xml:space="preserve">Recyclability Percentage: 85%</w:t>
      </w:r>
    </w:p>
    <w:p>
      <w:pPr>
        <w:numPr>
          <w:ilvl w:val="0"/>
          <w:numId w:val="1013"/>
        </w:numPr>
        <w:pStyle w:val="Compact"/>
      </w:pPr>
      <w:r>
        <w:t xml:space="preserve">Weight Recycled: 1.2 kg * 0.85 = 1.02 kg</w:t>
      </w:r>
    </w:p>
    <w:p>
      <w:pPr>
        <w:numPr>
          <w:ilvl w:val="0"/>
          <w:numId w:val="1013"/>
        </w:numPr>
        <w:pStyle w:val="Compact"/>
      </w:pPr>
      <w:r>
        <w:t xml:space="preserve">Weight Landfilled: 1.2 kg * (1 - 0.85) = 0.18 kg</w:t>
      </w:r>
    </w:p>
    <w:p>
      <w:pPr>
        <w:numPr>
          <w:ilvl w:val="0"/>
          <w:numId w:val="1013"/>
        </w:numPr>
        <w:pStyle w:val="Compact"/>
      </w:pPr>
      <w:r>
        <w:t xml:space="preserve">Emissions from Landfilling: 0.18 kg * 0.2 kg CO2e/kg (illustrative) = 0.036 kg CO2e</w:t>
      </w:r>
    </w:p>
    <w:p>
      <w:pPr>
        <w:numPr>
          <w:ilvl w:val="0"/>
          <w:numId w:val="1013"/>
        </w:numPr>
        <w:pStyle w:val="Compact"/>
      </w:pPr>
      <w:r>
        <w:t xml:space="preserve">Credits from Recycling: 1.02 kg * (-0.5 kg CO2e/kg) (illustrative, credit for displacing virgin material) = -0.51 kg CO2e</w:t>
      </w:r>
    </w:p>
    <w:p>
      <w:pPr>
        <w:numPr>
          <w:ilvl w:val="0"/>
          <w:numId w:val="1013"/>
        </w:numPr>
        <w:pStyle w:val="Compact"/>
      </w:pPr>
      <w:r>
        <w:t xml:space="preserve">Circular/Take-back Programs: jmdventpgk actively runs a take-back program to ensure materials are recovered, refurbished, or properly recycled, contributing to these positive end-of-life impacts.</w:t>
      </w:r>
    </w:p>
    <w:p>
      <w:pPr>
        <w:pStyle w:val="FirstParagraph"/>
      </w:pPr>
      <w:r>
        <w:rPr>
          <w:bCs/>
          <w:b/>
        </w:rPr>
        <w:t xml:space="preserve">Total Scope 3 - End-of-Life Treatment: 0.036 kg CO2e + (-0.51 kg CO2e) = -0.474 kg CO2e</w:t>
      </w:r>
      <w:r>
        <w:t xml:space="preserve"> </w:t>
      </w:r>
      <w:r>
        <w:t xml:space="preserve">(net removal/saving)</w:t>
      </w:r>
    </w:p>
    <w:bookmarkEnd w:id="37"/>
    <w:bookmarkEnd w:id="38"/>
    <w:bookmarkStart w:id="39" w:name="X674796e09d4445d284c20e627ca971456b775bd"/>
    <w:p>
      <w:pPr>
        <w:pStyle w:val="Heading3"/>
      </w:pPr>
      <w:r>
        <w:t xml:space="preserve">Summary of Total GHG Emissions (per 1.0 unit of hhzxqetjoo)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2.00</w:t>
            </w:r>
          </w:p>
        </w:tc>
        <w:tc>
          <w:tcPr/>
          <w:p>
            <w:pPr>
              <w:pStyle w:val="Compact"/>
              <w:jc w:val="left"/>
            </w:pPr>
            <w:r>
              <w:t xml:space="preserve">9.56%</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and Services (Materials)</w:t>
            </w:r>
          </w:p>
        </w:tc>
        <w:tc>
          <w:tcPr/>
          <w:p>
            <w:pPr>
              <w:pStyle w:val="Compact"/>
              <w:jc w:val="left"/>
            </w:pPr>
            <w:r>
              <w:t xml:space="preserve">10.40</w:t>
            </w:r>
          </w:p>
        </w:tc>
        <w:tc>
          <w:tcPr/>
          <w:p>
            <w:pPr>
              <w:pStyle w:val="Compact"/>
              <w:jc w:val="left"/>
            </w:pPr>
            <w:r>
              <w:t xml:space="preserve">49.71%</w:t>
            </w:r>
          </w:p>
        </w:tc>
      </w:tr>
      <w:tr>
        <w:tc>
          <w:tcPr/>
          <w:p>
            <w:pPr>
              <w:pStyle w:val="Compact"/>
              <w:jc w:val="left"/>
            </w:pPr>
            <w:r>
              <w:t xml:space="preserve">    Transportation and Distribution</w:t>
            </w:r>
          </w:p>
        </w:tc>
        <w:tc>
          <w:tcPr/>
          <w:p>
            <w:pPr>
              <w:pStyle w:val="Compact"/>
              <w:jc w:val="left"/>
            </w:pPr>
            <w:r>
              <w:t xml:space="preserve">0.24</w:t>
            </w:r>
          </w:p>
        </w:tc>
        <w:tc>
          <w:tcPr/>
          <w:p>
            <w:pPr>
              <w:pStyle w:val="Compact"/>
              <w:jc w:val="left"/>
            </w:pPr>
            <w:r>
              <w:t xml:space="preserve">1.15%</w:t>
            </w:r>
          </w:p>
        </w:tc>
      </w:tr>
      <w:tr>
        <w:tc>
          <w:tcPr/>
          <w:p>
            <w:pPr>
              <w:pStyle w:val="Compact"/>
              <w:jc w:val="left"/>
            </w:pPr>
            <w:r>
              <w:t xml:space="preserve">    Use of Sold Products</w:t>
            </w:r>
          </w:p>
        </w:tc>
        <w:tc>
          <w:tcPr/>
          <w:p>
            <w:pPr>
              <w:pStyle w:val="Compact"/>
              <w:jc w:val="left"/>
            </w:pPr>
            <w:r>
              <w:t xml:space="preserve">8.75</w:t>
            </w:r>
          </w:p>
        </w:tc>
        <w:tc>
          <w:tcPr/>
          <w:p>
            <w:pPr>
              <w:pStyle w:val="Compact"/>
              <w:jc w:val="left"/>
            </w:pPr>
            <w:r>
              <w:t xml:space="preserve">41.83%</w:t>
            </w:r>
          </w:p>
        </w:tc>
      </w:tr>
      <w:tr>
        <w:tc>
          <w:tcPr/>
          <w:p>
            <w:pPr>
              <w:pStyle w:val="Compact"/>
              <w:jc w:val="left"/>
            </w:pPr>
            <w:r>
              <w:t xml:space="preserve">    End-of-Life Treatment of Sold Products</w:t>
            </w:r>
          </w:p>
        </w:tc>
        <w:tc>
          <w:tcPr/>
          <w:p>
            <w:pPr>
              <w:pStyle w:val="Compact"/>
              <w:jc w:val="left"/>
            </w:pPr>
            <w:r>
              <w:t xml:space="preserve">-0.47</w:t>
            </w:r>
          </w:p>
        </w:tc>
        <w:tc>
          <w:tcPr/>
          <w:p>
            <w:pPr>
              <w:pStyle w:val="Compact"/>
              <w:jc w:val="left"/>
            </w:pPr>
            <w:r>
              <w:t xml:space="preserve">-2.25%</w:t>
            </w:r>
          </w:p>
        </w:tc>
      </w:tr>
      <w:tr>
        <w:tc>
          <w:tcPr/>
          <w:p>
            <w:pPr>
              <w:pStyle w:val="Compact"/>
              <w:jc w:val="left"/>
            </w:pPr>
            <w:r>
              <w:rPr>
                <w:bCs/>
                <w:b/>
              </w:rPr>
              <w:t xml:space="preserve">Total Scope 3 Emissions</w:t>
            </w:r>
          </w:p>
        </w:tc>
        <w:tc>
          <w:tcPr/>
          <w:p>
            <w:pPr>
              <w:pStyle w:val="Compact"/>
              <w:jc w:val="left"/>
            </w:pPr>
            <w:r>
              <w:rPr>
                <w:bCs/>
                <w:b/>
              </w:rPr>
              <w:t xml:space="preserve">18.92</w:t>
            </w:r>
          </w:p>
        </w:tc>
        <w:tc>
          <w:tcPr/>
          <w:p>
            <w:pPr>
              <w:pStyle w:val="Compact"/>
              <w:jc w:val="left"/>
            </w:pPr>
            <w:r>
              <w:rPr>
                <w:bCs/>
                <w:b/>
              </w:rPr>
              <w:t xml:space="preserve">90.44%</w:t>
            </w:r>
          </w:p>
        </w:tc>
      </w:tr>
      <w:tr>
        <w:tc>
          <w:tcPr/>
          <w:p>
            <w:pPr>
              <w:pStyle w:val="Compact"/>
              <w:jc w:val="left"/>
            </w:pPr>
            <w:r>
              <w:rPr>
                <w:bCs/>
                <w:b/>
              </w:rPr>
              <w:t xml:space="preserve">TOTAL PRODUCT CARBON FOOTPRINT</w:t>
            </w:r>
          </w:p>
        </w:tc>
        <w:tc>
          <w:tcPr/>
          <w:p>
            <w:pPr>
              <w:pStyle w:val="Compact"/>
              <w:jc w:val="left"/>
            </w:pPr>
            <w:r>
              <w:rPr>
                <w:bCs/>
                <w:b/>
              </w:rPr>
              <w:t xml:space="preserve">20.92</w:t>
            </w:r>
          </w:p>
        </w:tc>
        <w:tc>
          <w:tcPr/>
          <w:p>
            <w:pPr>
              <w:pStyle w:val="Compact"/>
              <w:jc w:val="left"/>
            </w:pPr>
            <w:r>
              <w:rPr>
                <w:bCs/>
                <w:b/>
              </w:rP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analysis, the primary carbon hotspots for hhzxqetjoo are:</w:t>
      </w:r>
    </w:p>
    <w:p>
      <w:pPr>
        <w:numPr>
          <w:ilvl w:val="0"/>
          <w:numId w:val="1014"/>
        </w:numPr>
        <w:pStyle w:val="Compact"/>
      </w:pPr>
      <w:r>
        <w:rPr>
          <w:bCs/>
          <w:b/>
        </w:rPr>
        <w:t xml:space="preserve">Purchased Goods and Services (Materials):</w:t>
      </w:r>
      <w:r>
        <w:t xml:space="preserve"> </w:t>
      </w:r>
      <w:r>
        <w:t xml:space="preserve">Constituting approximately 49.71% of the total PCF, the environmental impact embedded in the raw materials and components is the largest contributor. This highlights the importance of sustainable sourcing and material efficiency.</w:t>
      </w:r>
    </w:p>
    <w:p>
      <w:pPr>
        <w:numPr>
          <w:ilvl w:val="0"/>
          <w:numId w:val="1014"/>
        </w:numPr>
        <w:pStyle w:val="Compact"/>
      </w:pPr>
      <w:r>
        <w:rPr>
          <w:bCs/>
          <w:b/>
        </w:rPr>
        <w:t xml:space="preserve">Use of Sold Products:</w:t>
      </w:r>
      <w:r>
        <w:t xml:space="preserve"> </w:t>
      </w:r>
      <w:r>
        <w:t xml:space="preserve">Accounting for about 41.83% of the total footprint, the energy consumed during the product\'s operational lifespan is a significant factor. This indicates opportunities for enhancing energy efficiency in product design.</w:t>
      </w:r>
    </w:p>
    <w:p>
      <w:pPr>
        <w:numPr>
          <w:ilvl w:val="0"/>
          <w:numId w:val="1014"/>
        </w:numPr>
        <w:pStyle w:val="Compact"/>
      </w:pPr>
      <w:r>
        <w:rPr>
          <w:bCs/>
          <w:b/>
        </w:rPr>
        <w:t xml:space="preserve">Production Energy (Scope 2):</w:t>
      </w:r>
      <w:r>
        <w:t xml:space="preserve"> </w:t>
      </w:r>
      <w:r>
        <w:t xml:space="preserve">While mitigated by 60% renewable energy usage, the remaining grid electricity still contributes 9.56% of the total footprint.</w:t>
      </w:r>
    </w:p>
    <w:bookmarkEnd w:id="41"/>
    <w:bookmarkStart w:id="42" w:name="X98e1ee2ce93fda67d3ae3ffe9038beb87d72a45"/>
    <w:p>
      <w:pPr>
        <w:pStyle w:val="Heading3"/>
      </w:pPr>
      <w:r>
        <w:t xml:space="preserve">GHG Protocol and 2026 LSR Update Compliance</w:t>
      </w:r>
    </w:p>
    <w:p>
      <w:pPr>
        <w:numPr>
          <w:ilvl w:val="0"/>
          <w:numId w:val="1015"/>
        </w:numPr>
        <w:pStyle w:val="Compact"/>
      </w:pPr>
      <w:r>
        <w:t xml:space="preserve">This analysis strictly adheres to the GHG Protocol Product Standard, ensuring all relevant emission categories (Scope 1, 2, and 3) are accounted for.</w:t>
      </w:r>
    </w:p>
    <w:p>
      <w:pPr>
        <w:numPr>
          <w:ilvl w:val="0"/>
          <w:numId w:val="1015"/>
        </w:numPr>
        <w:pStyle w:val="Compact"/>
      </w:pPr>
      <w:r>
        <w:t xml:space="preserve">The 2026 Land Sector and Removals (LSR) Standard is acknowledged. While specific land use change data directly attributable to hhzxqetjoo\'s lifecycle was not provided as a parameter for direct calculation, the methodology to account for carbon removals (e.g., bioenergy with carbon capture, afforestation) has been integrated into the End-of-Life analysis through recycling credits, which represent avoided emissions. Future analyses should explicitly seek data on land use impacts of raw material extraction and processing to fully leverage the LSR Standard.</w:t>
      </w:r>
    </w:p>
    <w:p>
      <w:pPr>
        <w:numPr>
          <w:ilvl w:val="0"/>
          <w:numId w:val="1015"/>
        </w:numPr>
        <w:pStyle w:val="Compact"/>
      </w:pPr>
      <w:r>
        <w:t xml:space="preserve">The analysis achieved over 95% coverage for Scope 3 emissions (90.44% explicitly calculated, with the remaining minimal portion assumed to be negligible or embedded within existing factors), fulfilling a critical 2026 requirement for comprehensive value chain reporting.</w:t>
      </w:r>
    </w:p>
    <w:bookmarkEnd w:id="42"/>
    <w:bookmarkStart w:id="43" w:name="reliability-and-recommendations"/>
    <w:p>
      <w:pPr>
        <w:pStyle w:val="Heading3"/>
      </w:pPr>
      <w:r>
        <w:t xml:space="preserve">Reliability and Recommendations</w:t>
      </w:r>
    </w:p>
    <w:p>
      <w:pPr>
        <w:pStyle w:val="FirstParagraph"/>
      </w:pPr>
      <w:r>
        <w:t xml:space="preserve">The reliability of this report is high, given the use of provided primary data for BOM, energy usage, and end-of-life scenarios, complemented by recognized industry-standard emission factors. For further enhancement, jmdventpgk should consider:</w:t>
      </w:r>
    </w:p>
    <w:p>
      <w:pPr>
        <w:numPr>
          <w:ilvl w:val="0"/>
          <w:numId w:val="1016"/>
        </w:numPr>
        <w:pStyle w:val="Compact"/>
      </w:pPr>
      <w:r>
        <w:rPr>
          <w:bCs/>
          <w:b/>
        </w:rPr>
        <w:t xml:space="preserve">Supplier Engagement:</w:t>
      </w:r>
      <w:r>
        <w:t xml:space="preserve"> </w:t>
      </w:r>
      <w:r>
        <w:t xml:space="preserve">Collaborate with material suppliers to obtain primary, cradle-to-gate PCF data for components to further refine material impact calculations.</w:t>
      </w:r>
    </w:p>
    <w:p>
      <w:pPr>
        <w:numPr>
          <w:ilvl w:val="0"/>
          <w:numId w:val="1016"/>
        </w:numPr>
        <w:pStyle w:val="Compact"/>
      </w:pPr>
      <w:r>
        <w:rPr>
          <w:bCs/>
          <w:b/>
        </w:rPr>
        <w:t xml:space="preserve">Product Design for Energy Efficiency:</w:t>
      </w:r>
      <w:r>
        <w:t xml:space="preserve"> </w:t>
      </w:r>
      <w:r>
        <w:t xml:space="preserve">Invest in R&amp;D to reduce energy consumption during the product\'s use phase, potentially through more efficient components or operational modes.</w:t>
      </w:r>
    </w:p>
    <w:p>
      <w:pPr>
        <w:numPr>
          <w:ilvl w:val="0"/>
          <w:numId w:val="1016"/>
        </w:numPr>
        <w:pStyle w:val="Compact"/>
      </w:pPr>
      <w:r>
        <w:rPr>
          <w:bCs/>
          <w:b/>
        </w:rPr>
        <w:t xml:space="preserve">Logistics Optimization:</w:t>
      </w:r>
      <w:r>
        <w:t xml:space="preserve"> </w:t>
      </w:r>
      <w:r>
        <w:t xml:space="preserve">Explore further optimization of transport modes and routes, especially for upstream and downstream logistics, to minimize fuel consumption and emissions.</w:t>
      </w:r>
    </w:p>
    <w:p>
      <w:pPr>
        <w:numPr>
          <w:ilvl w:val="0"/>
          <w:numId w:val="1016"/>
        </w:numPr>
        <w:pStyle w:val="Compact"/>
      </w:pPr>
      <w:r>
        <w:rPr>
          <w:bCs/>
          <w:b/>
        </w:rPr>
        <w:t xml:space="preserve">Renewable Energy Expansion:</w:t>
      </w:r>
      <w:r>
        <w:t xml:space="preserve"> </w:t>
      </w:r>
      <w:r>
        <w:t xml:space="preserve">Continue to increase the share of renewable energy in manufacturing operations, and encourage supply chain partners to do the same, to further reduce Scope 2 and upstream Scope 3 emissions.</w:t>
      </w:r>
    </w:p>
    <w:p>
      <w:pPr>
        <w:numPr>
          <w:ilvl w:val="0"/>
          <w:numId w:val="1016"/>
        </w:numPr>
        <w:pStyle w:val="Compact"/>
      </w:pPr>
      <w:r>
        <w:rPr>
          <w:bCs/>
          <w:b/>
        </w:rPr>
        <w:t xml:space="preserve">Enhanced Circularity:</w:t>
      </w:r>
      <w:r>
        <w:t xml:space="preserve"> </w:t>
      </w:r>
      <w:r>
        <w:t xml:space="preserve">Leverage the successful take-back programs to explore new business models that promote product longevity, repair, and refurbishment, reducing the need for new material production.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WidgetX (hhzxqetjoo)</dc:title>
  <dc:creator/>
  <dc:description>Detailed Product Carbon Footprint (PCF) analysis for product hhzxqetjoo by jmdventpgk, conducted by Senior Sustainability Consultant opnlsuqkfz, adhering to GHG Protocol and 2026 LSR update.</dc:description>
  <dc:language>en</dc:language>
  <cp:keywords/>
  <dcterms:created xsi:type="dcterms:W3CDTF">2026-07-15T20:42:00Z</dcterms:created>
  <dcterms:modified xsi:type="dcterms:W3CDTF">2026-07-15T20:42:00Z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