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wgqpxetzkw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wgqpxetzkw"/>
    <w:p>
      <w:pPr>
        <w:pStyle w:val="Heading2"/>
      </w:pPr>
      <w:r>
        <w:t xml:space="preserve">For Product: wgqpxetzkw</w:t>
      </w:r>
    </w:p>
    <w:p>
      <w:pPr>
        <w:pStyle w:val="FirstParagraph"/>
      </w:pPr>
      <w:r>
        <w:rPr>
          <w:bCs/>
          <w:b/>
        </w:rPr>
        <w:t xml:space="preserve">Company Name:</w:t>
      </w:r>
      <w:r>
        <w:t xml:space="preserve"> </w:t>
      </w:r>
      <w:r>
        <w:t xml:space="preserve">qyufpffdqr</w:t>
      </w:r>
    </w:p>
    <w:p>
      <w:pPr>
        <w:pStyle w:val="BodyText"/>
      </w:pPr>
      <w:r>
        <w:rPr>
          <w:bCs/>
          <w:b/>
        </w:rPr>
        <w:t xml:space="preserve">Senior Sustainability Consultant:</w:t>
      </w:r>
      <w:r>
        <w:t xml:space="preserve"> </w:t>
      </w:r>
      <w:r>
        <w:t xml:space="preserve">qxefgklugx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illustrative nature of some input parameters (as actual data was not provided in a structured format), the results should be considered indicative rather than absolute. For precise calculations, primary, verifiable data is essential.</w:t>
      </w:r>
    </w:p>
    <w:bookmarkEnd w:id="20"/>
    <w:bookmarkEnd w:id="21"/>
    <w:p>
      <w:pPr>
        <w:pStyle w:val="BodyText"/>
      </w:pPr>
      <w:r>
        <w:t xml:space="preserve">Product Carbon Footprint Report - wgqpxetzkw | Generated Date: May 25, 2026</w:t>
      </w:r>
    </w:p>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wgqpxetzkw</w:t>
      </w:r>
      <w:r>
        <w:t xml:space="preserve">, manufactured by</w:t>
      </w:r>
      <w:r>
        <w:t xml:space="preserve"> </w:t>
      </w:r>
      <w:r>
        <w:rPr>
          <w:bCs/>
          <w:b/>
        </w:rPr>
        <w:t xml:space="preserve">qyufpffdqr</w:t>
      </w:r>
      <w:r>
        <w:t xml:space="preserve">. The analysis, conducted by Senior Sustainability Consultant</w:t>
      </w:r>
      <w:r>
        <w:t xml:space="preserve"> </w:t>
      </w:r>
      <w:r>
        <w:rPr>
          <w:bCs/>
          <w:b/>
        </w:rPr>
        <w:t xml:space="preserve">qxefgklugx</w:t>
      </w:r>
      <w:r>
        <w:t xml:space="preserve">, adheres strictly to the GHG Protocol Product Standard, incorporating the latest 2026 Land Sector and Removals (LSR) Standard update considerations and aiming for 95% Scope 3 coverage. The primary goal is to quantify the greenhouse gas (GHG) emissions associated with the entire lifecycle of one functional unit of wgqpxetzkw, from raw material extraction to end-of-life, identifying emission hotspots and informing sustainability strategies.</w:t>
      </w:r>
    </w:p>
    <w:p>
      <w:pPr>
        <w:pStyle w:val="BodyText"/>
      </w:pPr>
      <w:r>
        <w:t xml:space="preserve">The total estimated Product Carbon Footprint for one functional unit of</w:t>
      </w:r>
      <w:r>
        <w:t xml:space="preserve"> </w:t>
      </w:r>
      <w:r>
        <w:rPr>
          <w:bCs/>
          <w:b/>
        </w:rPr>
        <w:t xml:space="preserve">wgqpxetzkw</w:t>
      </w:r>
      <w:r>
        <w:t xml:space="preserve"> </w:t>
      </w:r>
      <w:r>
        <w:t xml:space="preserve">is calculated to be **XX.XX kg CO2e**. The primary hotspots were identified in the manufacturing phase (due to energy-intensive processes and grid mix in China) and the raw material acquisition phase, particularly for specialized electronic components and batteries. Recommendations focus on supply chain engagement for data improvement, increasing renewable energy adoption, and enhancing end-of-life circularity.</w:t>
      </w:r>
    </w:p>
    <w:p>
      <w:r>
        <w:pict>
          <v:rect style="width:0;height:1.5pt" o:hralign="center" o:hrstd="t" o:hr="t"/>
        </w:pict>
      </w:r>
    </w:p>
    <w:bookmarkEnd w:id="22"/>
    <w:bookmarkStart w:id="31" w:name="methodology"/>
    <w:p>
      <w:pPr>
        <w:pStyle w:val="Heading1"/>
      </w:pPr>
      <w:r>
        <w:t xml:space="preserve">2. Methodology</w:t>
      </w:r>
    </w:p>
    <w:p>
      <w:pPr>
        <w:pStyle w:val="FirstParagraph"/>
      </w:pPr>
      <w:r>
        <w:t xml:space="preserve">The Product Carbon Footprint (PCF) analysis for</w:t>
      </w:r>
      <w:r>
        <w:t xml:space="preserve"> </w:t>
      </w:r>
      <w:r>
        <w:rPr>
          <w:bCs/>
          <w:b/>
        </w:rPr>
        <w:t xml:space="preserve">wgqpxetzkw</w:t>
      </w:r>
      <w:r>
        <w:t xml:space="preserve"> </w:t>
      </w:r>
      <w:r>
        <w:t xml:space="preserve">follows the five-step methodology prescribed by the GHG Protocol, ensuring a comprehensive and standardized assessment.</w:t>
      </w:r>
    </w:p>
    <w:bookmarkStart w:id="23"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wgqpxetzkw.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Factory-gate (cradle-to-gate) for manufacturing and primary distribution, extended to include the use phase and end-of-life (cradle-to-grave) for a holistic assessment. This includes raw material acquisition, manufacturing, transportation (upstream and downstream),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materials and components may originate in Europe or globally, converging for manufacturing in China, and subsequently distributed to a European market.</w:t>
      </w:r>
    </w:p>
    <w:p>
      <w:pPr>
        <w:numPr>
          <w:ilvl w:val="0"/>
          <w:numId w:val="1001"/>
        </w:numPr>
        <w:pStyle w:val="Compact"/>
      </w:pPr>
      <w:r>
        <w:rPr>
          <w:bCs/>
          <w:b/>
        </w:rPr>
        <w:t xml:space="preserve">Accounting Standard:</w:t>
      </w:r>
      <w:r>
        <w:t xml:space="preserve"> </w:t>
      </w:r>
      <w:r>
        <w:t xml:space="preserve">GHG Protocol Product Standard, complemented by the Corporate Standard for categorization of emissions into Scope 1, 2, and 3.</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w:t>
      </w:r>
      <w:r>
        <w:t xml:space="preserve"> </w:t>
      </w:r>
      <w:r>
        <w:rPr>
          <w:bCs/>
          <w:b/>
        </w:rPr>
        <w:t xml:space="preserve">wgqpxetzkw</w:t>
      </w:r>
      <w:r>
        <w:t xml:space="preserve">. Co-product allocation is considered where relevant, although for this specific product analysis, direct attribution is prioritized.</w:t>
      </w:r>
    </w:p>
    <w:bookmarkEnd w:id="23"/>
    <w:bookmarkStart w:id="24" w:name="map-lifecycle-lci-inventory-stages"/>
    <w:p>
      <w:pPr>
        <w:pStyle w:val="Heading2"/>
      </w:pPr>
      <w:r>
        <w:t xml:space="preserve">2.2. Map Lifecycle (LCI Inventory Stages)</w:t>
      </w:r>
    </w:p>
    <w:p>
      <w:pPr>
        <w:pStyle w:val="FirstParagraph"/>
      </w:pPr>
      <w:r>
        <w:t xml:space="preserve">The lifecycle of</w:t>
      </w:r>
      <w:r>
        <w:t xml:space="preserve"> </w:t>
      </w:r>
      <w:r>
        <w:rPr>
          <w:bCs/>
          <w:b/>
        </w:rPr>
        <w:t xml:space="preserve">wgqpxetzkw</w:t>
      </w:r>
      <w:r>
        <w:t xml:space="preserve"> </w:t>
      </w:r>
      <w:r>
        <w:t xml:space="preserve">is broken down into the following stages for inventory data collection:</w:t>
      </w:r>
    </w:p>
    <w:p>
      <w:pPr>
        <w:numPr>
          <w:ilvl w:val="0"/>
          <w:numId w:val="1002"/>
        </w:numPr>
        <w:pStyle w:val="Compact"/>
      </w:pPr>
      <w:r>
        <w:rPr>
          <w:bCs/>
          <w:b/>
        </w:rPr>
        <w:t xml:space="preserve">Raw Material Acquisition &amp; Pre-processing:</w:t>
      </w:r>
      <w:r>
        <w:t xml:space="preserve"> </w:t>
      </w:r>
      <w:r>
        <w:t xml:space="preserve">Extraction and initial processing of all materials listed in the Bill of Materials (BOM), including any upstream transportation to component manufacturers.</w:t>
      </w:r>
    </w:p>
    <w:p>
      <w:pPr>
        <w:numPr>
          <w:ilvl w:val="0"/>
          <w:numId w:val="1002"/>
        </w:numPr>
        <w:pStyle w:val="Compact"/>
      </w:pPr>
      <w:r>
        <w:rPr>
          <w:bCs/>
          <w:b/>
        </w:rPr>
        <w:t xml:space="preserve">Manufacturing:</w:t>
      </w:r>
      <w:r>
        <w:t xml:space="preserve"> </w:t>
      </w:r>
      <w:r>
        <w:t xml:space="preserve">All processes involved in transforming raw materials and components into the finished product at the factory in China, including energy consumption, process emissions (if any), and waste generation.</w:t>
      </w:r>
    </w:p>
    <w:p>
      <w:pPr>
        <w:numPr>
          <w:ilvl w:val="0"/>
          <w:numId w:val="1002"/>
        </w:numPr>
        <w:pStyle w:val="Compact"/>
      </w:pPr>
      <w:r>
        <w:rPr>
          <w:bCs/>
          <w:b/>
        </w:rPr>
        <w:t xml:space="preserve">Transportation (Upstream):</w:t>
      </w:r>
      <w:r>
        <w:t xml:space="preserve"> </w:t>
      </w:r>
      <w:r>
        <w:t xml:space="preserve">Transport of raw materials and components from their origin (Europe Focused supply chain) to the manufacturing facility in China.</w:t>
      </w:r>
    </w:p>
    <w:p>
      <w:pPr>
        <w:numPr>
          <w:ilvl w:val="0"/>
          <w:numId w:val="1002"/>
        </w:numPr>
        <w:pStyle w:val="Compact"/>
      </w:pPr>
      <w:r>
        <w:rPr>
          <w:bCs/>
          <w:b/>
        </w:rPr>
        <w:t xml:space="preserve">Transportation (Downstream/Distribution):</w:t>
      </w:r>
      <w:r>
        <w:t xml:space="preserve"> </w:t>
      </w:r>
      <w:r>
        <w:t xml:space="preserve">Transport of the finished product from the factory gate in China to regional distribution centers in Europe and subsequently to the last-mile delivery channel.</w:t>
      </w:r>
    </w:p>
    <w:p>
      <w:pPr>
        <w:numPr>
          <w:ilvl w:val="0"/>
          <w:numId w:val="1002"/>
        </w:numPr>
        <w:pStyle w:val="Compact"/>
      </w:pPr>
      <w:r>
        <w:rPr>
          <w:bCs/>
          <w:b/>
        </w:rPr>
        <w:t xml:space="preserve">Use Phase:</w:t>
      </w:r>
      <w:r>
        <w:t xml:space="preserve"> </w:t>
      </w:r>
      <w:r>
        <w:t xml:space="preserve">Energy consumption by the product during its specified lifespan in the hands of the consumer.</w:t>
      </w:r>
    </w:p>
    <w:p>
      <w:pPr>
        <w:numPr>
          <w:ilvl w:val="0"/>
          <w:numId w:val="1002"/>
        </w:numPr>
        <w:pStyle w:val="Compact"/>
      </w:pPr>
      <w:r>
        <w:rPr>
          <w:bCs/>
          <w:b/>
        </w:rPr>
        <w:t xml:space="preserve">End-of-Life (EoL):</w:t>
      </w:r>
      <w:r>
        <w:t xml:space="preserve"> </w:t>
      </w:r>
      <w:r>
        <w:t xml:space="preserve">Collection, recycling, and disposal of the product at the end of its useful life.</w:t>
      </w:r>
    </w:p>
    <w:bookmarkEnd w:id="24"/>
    <w:bookmarkStart w:id="28" w:name="Xb57f50a89bf1f3f1837369be949d9d60d6c1272"/>
    <w:p>
      <w:pPr>
        <w:pStyle w:val="Heading2"/>
      </w:pPr>
      <w:r>
        <w:t xml:space="preserve">2.3. Collect Data (Primary/Secondary Data Points)</w:t>
      </w:r>
    </w:p>
    <w:p>
      <w:pPr>
        <w:pStyle w:val="FirstParagraph"/>
      </w:pPr>
      <w:r>
        <w:t xml:space="preserve">Data collection involved utilizing both primary (where specified parameters allowed) and secondary (industry-average emission factors) data sources:</w:t>
      </w:r>
    </w:p>
    <w:p>
      <w:pPr>
        <w:numPr>
          <w:ilvl w:val="0"/>
          <w:numId w:val="1003"/>
        </w:numPr>
        <w:pStyle w:val="Compact"/>
      </w:pPr>
      <w:r>
        <w:rPr>
          <w:bCs/>
          <w:b/>
        </w:rPr>
        <w:t xml:space="preserve">Primary Data (provided as parameters, interpreted for calculation):</w:t>
      </w:r>
    </w:p>
    <w:p>
      <w:pPr>
        <w:numPr>
          <w:ilvl w:val="1"/>
          <w:numId w:val="1004"/>
        </w:numPr>
        <w:pStyle w:val="Compact"/>
      </w:pPr>
      <w:r>
        <w:rPr>
          <w:bCs/>
          <w:b/>
        </w:rPr>
        <w:t xml:space="preserve">Detailed Bill of Materials (BOM):</w:t>
      </w:r>
      <w:r>
        <w:t xml:space="preserve"> </w:t>
      </w:r>
      <w:r>
        <w:t xml:space="preserve">The provided data `iyovkoyt` has been interpreted and modeled with illustrative material types, quantities, and their associated carbon footprints for high-accuracy material impact calculation. (</w:t>
      </w:r>
      <w:r>
        <w:rPr>
          <w:iCs/>
          <w:i/>
        </w:rPr>
        <w:t xml:space="preserve">Note: As specific structured BOM data was not provided, illustrative data is used for demonstration purposes.</w:t>
      </w:r>
      <w:r>
        <w:t xml:space="preserve">)</w:t>
      </w:r>
    </w:p>
    <w:p>
      <w:pPr>
        <w:numPr>
          <w:ilvl w:val="1"/>
          <w:numId w:val="1004"/>
        </w:numPr>
        <w:pStyle w:val="Compact"/>
      </w:pPr>
      <w:r>
        <w:rPr>
          <w:bCs/>
          <w:b/>
        </w:rPr>
        <w:t xml:space="preserve">Transport Mode:</w:t>
      </w:r>
      <w:r>
        <w:t xml:space="preserve"> </w:t>
      </w:r>
      <w:r>
        <w:t xml:space="preserve">Ocean Freight for main legs, Road Freight for last-mile.</w:t>
      </w:r>
    </w:p>
    <w:p>
      <w:pPr>
        <w:numPr>
          <w:ilvl w:val="1"/>
          <w:numId w:val="1004"/>
        </w:numPr>
        <w:pStyle w:val="Compact"/>
      </w:pPr>
      <w:r>
        <w:rPr>
          <w:bCs/>
          <w:b/>
        </w:rPr>
        <w:t xml:space="preserve">Transport Distance:</w:t>
      </w:r>
      <w:r>
        <w:t xml:space="preserve"> </w:t>
      </w:r>
      <w:r>
        <w:t xml:space="preserve">fsmjkynoel (interpreted as 15,000 km ocean, 500 km road).</w:t>
      </w:r>
    </w:p>
    <w:p>
      <w:pPr>
        <w:numPr>
          <w:ilvl w:val="1"/>
          <w:numId w:val="1004"/>
        </w:numPr>
        <w:pStyle w:val="Compact"/>
      </w:pPr>
      <w:r>
        <w:rPr>
          <w:bCs/>
          <w:b/>
        </w:rPr>
        <w:t xml:space="preserve">Last-Mile Delivery Channel:</w:t>
      </w:r>
      <w:r>
        <w:t xml:space="preserve"> </w:t>
      </w:r>
      <w:r>
        <w:t xml:space="preserve">Delivery Type (interpreted as Road Freight - Light Commercial Vehicle).</w:t>
      </w:r>
    </w:p>
    <w:p>
      <w:pPr>
        <w:numPr>
          <w:ilvl w:val="1"/>
          <w:numId w:val="1004"/>
        </w:numPr>
        <w:pStyle w:val="Compact"/>
      </w:pPr>
      <w:r>
        <w:rPr>
          <w:bCs/>
          <w:b/>
        </w:rPr>
        <w:t xml:space="preserve">Renewable Energy Usage:</w:t>
      </w:r>
      <w:r>
        <w:t xml:space="preserve"> </w:t>
      </w:r>
      <w:r>
        <w:t xml:space="preserve">xywzxjfynq (interpreted as 50% for manufacturing).</w:t>
      </w:r>
    </w:p>
    <w:p>
      <w:pPr>
        <w:numPr>
          <w:ilvl w:val="1"/>
          <w:numId w:val="1004"/>
        </w:numPr>
        <w:pStyle w:val="Compact"/>
      </w:pPr>
      <w:r>
        <w:rPr>
          <w:bCs/>
          <w:b/>
        </w:rPr>
        <w:t xml:space="preserve">Energy Intensity (kWh/unit):</w:t>
      </w:r>
      <w:r>
        <w:t xml:space="preserve"> </w:t>
      </w:r>
      <w:r>
        <w:t xml:space="preserve">ldjmrondog (interpreted as 1.5 kWh/unit for manufacturing).</w:t>
      </w:r>
    </w:p>
    <w:p>
      <w:pPr>
        <w:numPr>
          <w:ilvl w:val="1"/>
          <w:numId w:val="1004"/>
        </w:numPr>
        <w:pStyle w:val="Compact"/>
      </w:pPr>
      <w:r>
        <w:rPr>
          <w:bCs/>
          <w:b/>
        </w:rPr>
        <w:t xml:space="preserve">Product Lifespan:</w:t>
      </w:r>
      <w:r>
        <w:t xml:space="preserve"> </w:t>
      </w:r>
      <w:r>
        <w:t xml:space="preserve">rvqmxykffw (interpreted as 3 years).</w:t>
      </w:r>
    </w:p>
    <w:p>
      <w:pPr>
        <w:numPr>
          <w:ilvl w:val="1"/>
          <w:numId w:val="1004"/>
        </w:numPr>
        <w:pStyle w:val="Compact"/>
      </w:pPr>
      <w:r>
        <w:rPr>
          <w:bCs/>
          <w:b/>
        </w:rPr>
        <w:t xml:space="preserve">Energy Consumption in Use:</w:t>
      </w:r>
      <w:r>
        <w:t xml:space="preserve"> </w:t>
      </w:r>
      <w:r>
        <w:t xml:space="preserve">zsvrrlrrms (interpreted as 5 kWh/year).</w:t>
      </w:r>
    </w:p>
    <w:p>
      <w:pPr>
        <w:numPr>
          <w:ilvl w:val="1"/>
          <w:numId w:val="1004"/>
        </w:numPr>
        <w:pStyle w:val="Compact"/>
      </w:pPr>
      <w:r>
        <w:rPr>
          <w:bCs/>
          <w:b/>
        </w:rPr>
        <w:t xml:space="preserve">Recyclability Percentage:</w:t>
      </w:r>
      <w:r>
        <w:t xml:space="preserve"> </w:t>
      </w:r>
      <w:r>
        <w:t xml:space="preserve">mhxlddwpiq (interpreted as 75%).</w:t>
      </w:r>
    </w:p>
    <w:p>
      <w:pPr>
        <w:numPr>
          <w:ilvl w:val="1"/>
          <w:numId w:val="1004"/>
        </w:numPr>
        <w:pStyle w:val="Compact"/>
      </w:pPr>
      <w:r>
        <w:rPr>
          <w:bCs/>
          <w:b/>
        </w:rPr>
        <w:t xml:space="preserve">Circular/Take-back Programs:</w:t>
      </w:r>
      <w:r>
        <w:t xml:space="preserve"> </w:t>
      </w:r>
      <w:r>
        <w:t xml:space="preserve">qytynofxgf (interpreted as \'Yes, a formal program exists\').</w:t>
      </w:r>
    </w:p>
    <w:p>
      <w:pPr>
        <w:numPr>
          <w:ilvl w:val="0"/>
          <w:numId w:val="1003"/>
        </w:numPr>
        <w:pStyle w:val="Compact"/>
      </w:pPr>
      <w:r>
        <w:rPr>
          <w:bCs/>
          <w:b/>
        </w:rPr>
        <w:t xml:space="preserve">Secondary Data:</w:t>
      </w:r>
      <w:r>
        <w:t xml:space="preserve"> </w:t>
      </w:r>
      <w:r>
        <w:t xml:space="preserve">Industry-standard emission factors were utilized for materials, energy generation, and transportation, drawing from sources such as Ecoinvent and DEFRA equivalents for illustrative purposes. These factors are representative of average production conditions within the specified geographic regions.</w:t>
      </w:r>
    </w:p>
    <w:bookmarkStart w:id="25" w:name="X8606d9bd9151119877ac85232d68fb85aecd7ba"/>
    <w:p>
      <w:pPr>
        <w:pStyle w:val="Heading3"/>
      </w:pPr>
      <w:r>
        <w:t xml:space="preserve">Illustrative Bill of Materials (BOM) Data for wgqpxetzkw</w:t>
      </w:r>
    </w:p>
    <w:p>
      <w:pPr>
        <w:pStyle w:val="FirstParagraph"/>
      </w:pPr>
      <w:r>
        <w:t xml:space="preserve">As the specific format for `iyovkoyt` was not provided, the following table presents an illustrative Bill of Materials used for this analysis. The "Emission Factor" represents the cradle-to-gate impact of producing 1 unit (e.g., kg) of the material. "Total Carbon" is derived from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Primary Steel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2.20</w:t>
            </w:r>
          </w:p>
        </w:tc>
        <w:tc>
          <w:tcPr/>
          <w:p>
            <w:pPr>
              <w:pStyle w:val="Compact"/>
              <w:jc w:val="left"/>
            </w:pPr>
            <w:r>
              <w:t xml:space="preserve">0.44</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Polymers</w:t>
            </w:r>
          </w:p>
        </w:tc>
        <w:tc>
          <w:tcPr/>
          <w:p>
            <w:pPr>
              <w:pStyle w:val="Compact"/>
              <w:jc w:val="left"/>
            </w:pPr>
            <w:r>
              <w:t xml:space="preserve">ABS Granule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(Generic)</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Electronic Components (chipset, resistors, etc.)</w:t>
            </w:r>
          </w:p>
        </w:tc>
        <w:tc>
          <w:tcPr/>
          <w:p>
            <w:pPr>
              <w:pStyle w:val="Compact"/>
              <w:jc w:val="left"/>
            </w:pPr>
            <w:r>
              <w:t xml:space="preserve">Electronics</w:t>
            </w:r>
          </w:p>
        </w:tc>
        <w:tc>
          <w:tcPr/>
          <w:p>
            <w:pPr>
              <w:pStyle w:val="Compact"/>
              <w:jc w:val="left"/>
            </w:pPr>
            <w:r>
              <w:t xml:space="preserve">Component Fabrication (Generic)</w:t>
            </w:r>
          </w:p>
        </w:tc>
        <w:tc>
          <w:tcPr/>
          <w:p>
            <w:pPr>
              <w:pStyle w:val="Compact"/>
              <w:jc w:val="left"/>
            </w:pPr>
            <w:r>
              <w:t xml:space="preserve">0.03</w:t>
            </w:r>
          </w:p>
        </w:tc>
        <w:tc>
          <w:tcPr/>
          <w:p>
            <w:pPr>
              <w:pStyle w:val="Compact"/>
              <w:jc w:val="left"/>
            </w:pPr>
            <w:r>
              <w:t xml:space="preserve">kg</w:t>
            </w:r>
          </w:p>
        </w:tc>
        <w:tc>
          <w:tcPr/>
          <w:p>
            <w:pPr>
              <w:pStyle w:val="Compact"/>
              <w:jc w:val="left"/>
            </w:pPr>
            <w:r>
              <w:t xml:space="preserve">50.00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 (Generic)</w:t>
            </w:r>
          </w:p>
        </w:tc>
        <w:tc>
          <w:tcPr/>
          <w:p>
            <w:pPr>
              <w:pStyle w:val="Compact"/>
              <w:jc w:val="left"/>
            </w:pPr>
            <w:r>
              <w:t xml:space="preserve">0.1</w:t>
            </w:r>
          </w:p>
        </w:tc>
        <w:tc>
          <w:tcPr/>
          <w:p>
            <w:pPr>
              <w:pStyle w:val="Compact"/>
              <w:jc w:val="left"/>
            </w:pPr>
            <w:r>
              <w:t xml:space="preserve">kg</w:t>
            </w:r>
          </w:p>
        </w:tc>
        <w:tc>
          <w:tcPr/>
          <w:p>
            <w:pPr>
              <w:pStyle w:val="Compact"/>
              <w:jc w:val="left"/>
            </w:pPr>
            <w:r>
              <w:t xml:space="preserve">80.00</w:t>
            </w:r>
          </w:p>
        </w:tc>
        <w:tc>
          <w:tcPr/>
          <w:p>
            <w:pPr>
              <w:pStyle w:val="Compact"/>
              <w:jc w:val="left"/>
            </w:pPr>
            <w:r>
              <w:t xml:space="preserve">8.00</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Processing (Primary)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0.03</w:t>
            </w:r>
          </w:p>
        </w:tc>
      </w:tr>
    </w:tbl>
    <w:p>
      <w:pPr>
        <w:pStyle w:val="BodyText"/>
      </w:pPr>
      <w:r>
        <w:rPr>
          <w:iCs/>
          <w:i/>
        </w:rPr>
        <w:t xml:space="preserve">Note: These material emission factors are illustrative and reflect general industry averages. For a definitive PCF, specific supplier data or highly granular Ecoinvent/DEFRA factors tailored to the exact material composition and region would be required.</w:t>
      </w:r>
    </w:p>
    <w:bookmarkEnd w:id="25"/>
    <w:bookmarkStart w:id="26" w:name="energy-inputs-emission-factors"/>
    <w:p>
      <w:pPr>
        <w:pStyle w:val="Heading3"/>
      </w:pPr>
      <w:r>
        <w:t xml:space="preserve">Energy Inputs &amp; Emission Factors</w:t>
      </w:r>
    </w:p>
    <w:p>
      <w:pPr>
        <w:numPr>
          <w:ilvl w:val="0"/>
          <w:numId w:val="1005"/>
        </w:numPr>
        <w:pStyle w:val="Compact"/>
      </w:pPr>
      <w:r>
        <w:rPr>
          <w:bCs/>
          <w:b/>
        </w:rPr>
        <w:t xml:space="preserve">Manufacturing Electricity Grid Mix (China):</w:t>
      </w:r>
      <w:r>
        <w:t xml:space="preserve"> </w:t>
      </w:r>
      <w:r>
        <w:t xml:space="preserve">An average emission factor of 0.70 kg CO2e/kWh is used for the non-renewable portion of electricity consumed in China.</w:t>
      </w:r>
    </w:p>
    <w:p>
      <w:pPr>
        <w:numPr>
          <w:ilvl w:val="0"/>
          <w:numId w:val="1005"/>
        </w:numPr>
        <w:pStyle w:val="Compact"/>
      </w:pPr>
      <w:r>
        <w:rPr>
          <w:bCs/>
          <w:b/>
        </w:rPr>
        <w:t xml:space="preserve">Renewable Electricity:</w:t>
      </w:r>
      <w:r>
        <w:t xml:space="preserve"> </w:t>
      </w:r>
      <w:r>
        <w:t xml:space="preserve">For the 50% renewable energy usage, an emission factor of 0 kg CO2e/kWh is applied, assuming certified renewable energy sources.</w:t>
      </w:r>
    </w:p>
    <w:p>
      <w:pPr>
        <w:numPr>
          <w:ilvl w:val="0"/>
          <w:numId w:val="1005"/>
        </w:numPr>
        <w:pStyle w:val="Compact"/>
      </w:pPr>
      <w:r>
        <w:rPr>
          <w:bCs/>
          <w:b/>
        </w:rPr>
        <w:t xml:space="preserve">Use Phase Electricity Grid Mix (Europe):</w:t>
      </w:r>
      <w:r>
        <w:t xml:space="preserve"> </w:t>
      </w:r>
      <w:r>
        <w:t xml:space="preserve">An average emission factor of 0.181 kg CO2e/kWh is used for electricity consumed during the product\'s use phase in Europe (2024 EU average).</w:t>
      </w:r>
    </w:p>
    <w:bookmarkEnd w:id="26"/>
    <w:bookmarkStart w:id="27" w:name="X5e49071b739aead4aa53b3d1d568fe14e2ac378"/>
    <w:p>
      <w:pPr>
        <w:pStyle w:val="Heading3"/>
      </w:pPr>
      <w:r>
        <w:t xml:space="preserve">Transportation Parameters &amp; Emission Factors</w:t>
      </w:r>
    </w:p>
    <w:p>
      <w:pPr>
        <w:pStyle w:val="FirstParagraph"/>
      </w:pPr>
      <w:r>
        <w:t xml:space="preserve">Assuming a product weight of 0.5 kg for</w:t>
      </w:r>
      <w:r>
        <w:t xml:space="preserve"> </w:t>
      </w:r>
      <w:r>
        <w:rPr>
          <w:bCs/>
          <w:b/>
        </w:rPr>
        <w:t xml:space="preserve">wgqpxetzkw</w:t>
      </w:r>
      <w:r>
        <w:t xml:space="preserve"> </w:t>
      </w:r>
      <w:r>
        <w:t xml:space="preserve">(for transport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 (kg CO2e/tonne-km)</w:t>
            </w:r>
          </w:p>
        </w:tc>
        <w:tc>
          <w:tcPr/>
          <w:p>
            <w:pPr>
              <w:pStyle w:val="Compact"/>
              <w:jc w:val="left"/>
            </w:pPr>
            <w:r>
              <w:t xml:space="preserve">Total Product Carbon (kg CO2e)</w:t>
            </w:r>
          </w:p>
        </w:tc>
      </w:tr>
      <w:tr>
        <w:tc>
          <w:tcPr/>
          <w:p>
            <w:pPr>
              <w:pStyle w:val="Compact"/>
              <w:jc w:val="left"/>
            </w:pPr>
            <w:r>
              <w:t xml:space="preserve">Upstream (Materials to China Factory)</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(0.5 kg * 15000 km * 0.010 kg/tonne-km / 1000 kg/tonne) = 0.075</w:t>
            </w:r>
          </w:p>
        </w:tc>
      </w:tr>
      <w:tr>
        <w:tc>
          <w:tcPr/>
          <w:p>
            <w:pPr>
              <w:pStyle w:val="Compact"/>
              <w:jc w:val="left"/>
            </w:pPr>
            <w:r>
              <w:t xml:space="preserve">Downstream (Factory to Europe Distribution)</w:t>
            </w:r>
          </w:p>
        </w:tc>
        <w:tc>
          <w:tcPr/>
          <w:p>
            <w:pPr>
              <w:pStyle w:val="Compact"/>
              <w:jc w:val="left"/>
            </w:pPr>
            <w:r>
              <w:t xml:space="preserve">Ocean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(0.5 kg * 15000 km * 0.010 kg/tonne-km / 1000 kg/tonne) = 0.075</w:t>
            </w:r>
          </w:p>
        </w:tc>
      </w:tr>
      <w:tr>
        <w:tc>
          <w:tcPr/>
          <w:p>
            <w:pPr>
              <w:pStyle w:val="Compact"/>
              <w:jc w:val="left"/>
            </w:pPr>
            <w:r>
              <w:t xml:space="preserve">Last-Mile Delivery (Europe Distribution to Customer)</w:t>
            </w:r>
          </w:p>
        </w:tc>
        <w:tc>
          <w:tcPr/>
          <w:p>
            <w:pPr>
              <w:pStyle w:val="Compact"/>
              <w:jc w:val="left"/>
            </w:pPr>
            <w:r>
              <w:t xml:space="preserve">Road Freight (Light Commercial Vehicle)</w:t>
            </w:r>
          </w:p>
        </w:tc>
        <w:tc>
          <w:tcPr/>
          <w:p>
            <w:pPr>
              <w:pStyle w:val="Compact"/>
              <w:jc w:val="left"/>
            </w:pPr>
            <w:r>
              <w:t xml:space="preserve">500</w:t>
            </w:r>
          </w:p>
        </w:tc>
        <w:tc>
          <w:tcPr/>
          <w:p>
            <w:pPr>
              <w:pStyle w:val="Compact"/>
              <w:jc w:val="left"/>
            </w:pPr>
            <w:r>
              <w:t xml:space="preserve">0.200</w:t>
            </w:r>
          </w:p>
        </w:tc>
        <w:tc>
          <w:tcPr/>
          <w:p>
            <w:pPr>
              <w:pStyle w:val="Compact"/>
              <w:jc w:val="left"/>
            </w:pPr>
            <w:r>
              <w:t xml:space="preserve">(0.5 kg * 500 km * 0.200 kg/tonne-km / 1000 kg/tonne) = 0.050</w:t>
            </w:r>
          </w:p>
        </w:tc>
      </w:tr>
    </w:tbl>
    <w:p>
      <w:pPr>
        <w:pStyle w:val="BodyText"/>
      </w:pPr>
      <w:r>
        <w:rPr>
          <w:iCs/>
          <w:i/>
        </w:rPr>
        <w:t xml:space="preserve">Note: Transportation emission factors are illustrative, drawing from general DEFRA/Ecoinvent guidance for specific vehicle types.</w:t>
      </w:r>
    </w:p>
    <w:bookmarkEnd w:id="27"/>
    <w:bookmarkEnd w:id="28"/>
    <w:bookmarkStart w:id="29" w:name="Xb404f6bea4a0013006ec7a9103609d9ea6643c1"/>
    <w:p>
      <w:pPr>
        <w:pStyle w:val="Heading2"/>
      </w:pPr>
      <w:r>
        <w:t xml:space="preserve">2.4. Calculate Emissions (Activity * Emission Factor = CO2e)</w:t>
      </w:r>
    </w:p>
    <w:p>
      <w:pPr>
        <w:pStyle w:val="FirstParagraph"/>
      </w:pPr>
      <w:r>
        <w:t xml:space="preserve">Emissions are calculated for each stage by multiplying the activity data (e.g., kg of material, kWh of energy, tonne-km of transport) by the relevant emission factor. All calculations are performed in kg CO2e equivalents, encompassing CO2, CH4, N2O, and other relevant GHGs over a 100-year global warming potential (GWP) timeframe.</w:t>
      </w:r>
    </w:p>
    <w:bookmarkEnd w:id="29"/>
    <w:bookmarkStart w:id="30" w:name="review-report-hotspots-and-reliability"/>
    <w:p>
      <w:pPr>
        <w:pStyle w:val="Heading2"/>
      </w:pPr>
      <w:r>
        <w:t xml:space="preserve">2.5. Review &amp; Report (Hotspots and Reliability)</w:t>
      </w:r>
    </w:p>
    <w:p>
      <w:pPr>
        <w:pStyle w:val="FirstParagraph"/>
      </w:pPr>
      <w:r>
        <w:t xml:space="preserve">The final step involves aggregating the emissions, identifying key hotspots, and assessing the reliability of the data. This report aims to be transparent about data sources and assumptions.</w:t>
      </w:r>
    </w:p>
    <w:p>
      <w:r>
        <w:pict>
          <v:rect style="width:0;height:1.5pt" o:hralign="center" o:hrstd="t" o:hr="t"/>
        </w:pict>
      </w:r>
    </w:p>
    <w:bookmarkEnd w:id="30"/>
    <w:bookmarkEnd w:id="31"/>
    <w:bookmarkStart w:id="42" w:name="Xbcc1111f285573db04b4d9346e90f945006a76f"/>
    <w:p>
      <w:pPr>
        <w:pStyle w:val="Heading1"/>
      </w:pPr>
      <w:r>
        <w:t xml:space="preserve">3. Product Carbon Footprint Analysis for wgqpxetzkw</w:t>
      </w:r>
    </w:p>
    <w:p>
      <w:pPr>
        <w:pStyle w:val="FirstParagraph"/>
      </w:pPr>
      <w:r>
        <w:t xml:space="preserve">This section details the calculated emissions across the lifecycle stages, categorized according to the GHG Protocol Scopes.</w:t>
      </w:r>
    </w:p>
    <w:bookmarkStart w:id="33" w:name="Xc69f3c5b8970cbc28051d57ca0663444c9740b8"/>
    <w:p>
      <w:pPr>
        <w:pStyle w:val="Heading2"/>
      </w:pPr>
      <w:r>
        <w:t xml:space="preserve">3.1. Scope 1, 2, and 3 Categorization (GHG Protocol Adherence)</w:t>
      </w:r>
    </w:p>
    <w:p>
      <w:pPr>
        <w:pStyle w:val="FirstParagraph"/>
      </w:pPr>
      <w:r>
        <w:t xml:space="preserve">The GHG Protocol categorizes emissions to differentiate between direct and indirect sources.</w:t>
      </w:r>
    </w:p>
    <w:p>
      <w:pPr>
        <w:numPr>
          <w:ilvl w:val="0"/>
          <w:numId w:val="1006"/>
        </w:numPr>
        <w:pStyle w:val="Compact"/>
      </w:pPr>
      <w:r>
        <w:rPr>
          <w:bCs/>
          <w:b/>
        </w:rPr>
        <w:t xml:space="preserve">Scope 1 (Direct Emissions):</w:t>
      </w:r>
      <w:r>
        <w:t xml:space="preserve"> </w:t>
      </w:r>
      <w:r>
        <w:t xml:space="preserve">GHG emissions from sources owned or controlled by</w:t>
      </w:r>
      <w:r>
        <w:t xml:space="preserve"> </w:t>
      </w:r>
      <w:r>
        <w:rPr>
          <w:bCs/>
          <w:b/>
        </w:rPr>
        <w:t xml:space="preserve">qyufpffdqr</w:t>
      </w:r>
      <w:r>
        <w:t xml:space="preserve">. For a product-level analysis where manufacturing is outsourced, these are typically minimal or zero. If</w:t>
      </w:r>
      <w:r>
        <w:t xml:space="preserve"> </w:t>
      </w:r>
      <w:r>
        <w:rPr>
          <w:bCs/>
          <w:b/>
        </w:rPr>
        <w:t xml:space="preserve">qyufpffdqr</w:t>
      </w:r>
      <w:r>
        <w:t xml:space="preserve"> </w:t>
      </w:r>
      <w:r>
        <w:t xml:space="preserve">owned the manufacturing plant and directly burned fuel for production, those would be Scope 1. In this PCF context, direct process emissions from the factory (if any) are accounted for within the manufacturing impact under Scope 3 for</w:t>
      </w:r>
      <w:r>
        <w:t xml:space="preserve"> </w:t>
      </w:r>
      <w:r>
        <w:rPr>
          <w:bCs/>
          <w:b/>
        </w:rPr>
        <w:t xml:space="preserve">qyufpffdqr</w:t>
      </w:r>
      <w:r>
        <w:t xml:space="preserve">.</w:t>
      </w:r>
    </w:p>
    <w:p>
      <w:pPr>
        <w:numPr>
          <w:ilvl w:val="0"/>
          <w:numId w:val="1006"/>
        </w:numPr>
        <w:pStyle w:val="Compact"/>
      </w:pPr>
      <w:r>
        <w:rPr>
          <w:bCs/>
          <w:b/>
        </w:rPr>
        <w:t xml:space="preserve">Scope 2 (Energy Indirect Emissions):</w:t>
      </w:r>
      <w:r>
        <w:t xml:space="preserve"> </w:t>
      </w:r>
      <w:r>
        <w:t xml:space="preserve">GHG emissions from the generation of purchased electricity, heat, or steam consumed by</w:t>
      </w:r>
      <w:r>
        <w:t xml:space="preserve"> </w:t>
      </w:r>
      <w:r>
        <w:rPr>
          <w:bCs/>
          <w:b/>
        </w:rPr>
        <w:t xml:space="preserve">qyufpffdqr\'s</w:t>
      </w:r>
      <w:r>
        <w:t xml:space="preserve"> </w:t>
      </w:r>
      <w:r>
        <w:t xml:space="preserve">own operations. Similar to Scope 1, for an outsourced manufacturing PCF, the energy use at the factory is generally attributed to Scope 3 for the reporting company.</w:t>
      </w:r>
    </w:p>
    <w:p>
      <w:pPr>
        <w:numPr>
          <w:ilvl w:val="0"/>
          <w:numId w:val="1006"/>
        </w:numPr>
        <w:pStyle w:val="Compact"/>
      </w:pPr>
      <w:r>
        <w:rPr>
          <w:bCs/>
          <w:b/>
        </w:rPr>
        <w:t xml:space="preserve">Scope 3 (Other Indirect Emissions):</w:t>
      </w:r>
      <w:r>
        <w:t xml:space="preserve"> </w:t>
      </w:r>
      <w:r>
        <w:t xml:space="preserve">All other indirect emissions occurring in the value chain of</w:t>
      </w:r>
      <w:r>
        <w:t xml:space="preserve"> </w:t>
      </w:r>
      <w:r>
        <w:rPr>
          <w:bCs/>
          <w:b/>
        </w:rPr>
        <w:t xml:space="preserve">qyufpffdqr</w:t>
      </w:r>
      <w:r>
        <w:t xml:space="preserve">, both upstream and downstream. These typically represent the largest portion of a product\'s footprint and are the primary focus of this PCF.</w:t>
      </w:r>
    </w:p>
    <w:bookmarkStart w:id="32" w:name="ghg-protocol-2026-updates-integration"/>
    <w:p>
      <w:pPr>
        <w:pStyle w:val="Heading3"/>
      </w:pPr>
      <w:r>
        <w:t xml:space="preserve">GHG Protocol 2026 Updates Integration:</w:t>
      </w:r>
    </w:p>
    <w:p>
      <w:pPr>
        <w:numPr>
          <w:ilvl w:val="0"/>
          <w:numId w:val="1007"/>
        </w:numPr>
        <w:pStyle w:val="Compact"/>
      </w:pPr>
      <w:r>
        <w:rPr>
          <w:bCs/>
          <w:b/>
        </w:rPr>
        <w:t xml:space="preserve">2026 LSR Update (Land Sector and Removals Standard):</w:t>
      </w:r>
      <w:r>
        <w:t xml:space="preserve"> </w:t>
      </w:r>
      <w:r>
        <w:t xml:space="preserve">The LSR Standard, effective January 1, 2027, provides accounting requirements for land emissions, CO2 removals, and technological CO2 removals. For</w:t>
      </w:r>
      <w:r>
        <w:t xml:space="preserve"> </w:t>
      </w:r>
      <w:r>
        <w:rPr>
          <w:bCs/>
          <w:b/>
        </w:rPr>
        <w:t xml:space="preserve">wgqpxetzkw</w:t>
      </w:r>
      <w:r>
        <w:t xml:space="preserve">, an electronic product, direct land sector activities are not a primary driver of emissions. However, if raw materials (e.g., certain bio-based plastics, or materials from mining operations with significant land disturbance) had quantifiable land-use change impacts or removal potential, these would be considered within Scope 3 Category 1 (Purchased Goods and Services).</w:t>
      </w:r>
      <w:r>
        <w:t xml:space="preserve"> </w:t>
      </w:r>
      <w:r>
        <w:rPr>
          <w:bCs/>
          <w:b/>
        </w:rPr>
        <w:t xml:space="preserve">qyufpffdqr</w:t>
      </w:r>
      <w:r>
        <w:t xml:space="preserve"> </w:t>
      </w:r>
      <w:r>
        <w:t xml:space="preserve">would also apply this standard to any of its broader corporate operations involving significant land use or carbon removal projects.</w:t>
      </w:r>
    </w:p>
    <w:p>
      <w:pPr>
        <w:numPr>
          <w:ilvl w:val="0"/>
          <w:numId w:val="1007"/>
        </w:numPr>
        <w:pStyle w:val="Compact"/>
      </w:pPr>
      <w:r>
        <w:rPr>
          <w:bCs/>
          <w:b/>
        </w:rPr>
        <w:t xml:space="preserve">Scope 3 Compliance (95% Coverage):</w:t>
      </w:r>
      <w:r>
        <w:t xml:space="preserve"> </w:t>
      </w:r>
      <w:r>
        <w:t xml:space="preserve">The 2026 revisions to the Scope 3 Standard mandate at least 95% coverage of total relevant Scope 3 emissions for conformance, along with disaggregation of data by source type (primary vs. secondary). This report aims for comprehensive coverage across all relevant categories for</w:t>
      </w:r>
      <w:r>
        <w:t xml:space="preserve"> </w:t>
      </w:r>
      <w:r>
        <w:rPr>
          <w:bCs/>
          <w:b/>
        </w:rPr>
        <w:t xml:space="preserve">wgqpxetzkw</w:t>
      </w:r>
      <w:r>
        <w:t xml:space="preserve">. While illustrative secondary data is used here,</w:t>
      </w:r>
      <w:r>
        <w:t xml:space="preserve"> </w:t>
      </w:r>
      <w:r>
        <w:rPr>
          <w:bCs/>
          <w:b/>
        </w:rPr>
        <w:t xml:space="preserve">qyufpffdqr</w:t>
      </w:r>
      <w:r>
        <w:t xml:space="preserve"> </w:t>
      </w:r>
      <w:r>
        <w:t xml:space="preserve">should prioritize collecting primary data from its supply chain to meet future requirements and enhance accuracy.</w:t>
      </w:r>
    </w:p>
    <w:bookmarkEnd w:id="32"/>
    <w:bookmarkEnd w:id="33"/>
    <w:bookmarkStart w:id="39" w:name="X99c587e9f49502a05544895471015307f773f57"/>
    <w:p>
      <w:pPr>
        <w:pStyle w:val="Heading2"/>
      </w:pPr>
      <w:r>
        <w:t xml:space="preserve">3.2. Detailed Emissions Calculation by Lifecycle Stage and Scope</w:t>
      </w:r>
    </w:p>
    <w:p>
      <w:pPr>
        <w:pStyle w:val="FirstParagraph"/>
      </w:pPr>
      <w:r>
        <w:t xml:space="preserve">The total estimated product weight for calculation purposes is 0.5 kg.</w:t>
      </w:r>
    </w:p>
    <w:bookmarkStart w:id="34" w:name="X7466287fc068384f0de3bfafd49ea79a9d0d6e6"/>
    <w:p>
      <w:pPr>
        <w:pStyle w:val="Heading3"/>
      </w:pPr>
      <w:r>
        <w:t xml:space="preserve">3.2.1. Raw Material Acquisition (Scope 3, Category 1: Purchased Goods and Services)</w:t>
      </w:r>
    </w:p>
    <w:p>
      <w:pPr>
        <w:pStyle w:val="FirstParagraph"/>
      </w:pPr>
      <w:r>
        <w:t xml:space="preserve">This stage accounts for the emissions from the extraction, processing, and manufacturing of all raw materials and components up to the point of delivery to the assembly factory. Based on the illustrative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Steel Casing</w:t>
            </w:r>
          </w:p>
        </w:tc>
        <w:tc>
          <w:tcPr/>
          <w:p>
            <w:pPr>
              <w:pStyle w:val="Compact"/>
              <w:jc w:val="left"/>
            </w:pPr>
            <w:r>
              <w:t xml:space="preserve">0.20</w:t>
            </w:r>
          </w:p>
        </w:tc>
        <w:tc>
          <w:tcPr/>
          <w:p>
            <w:pPr>
              <w:pStyle w:val="Compact"/>
              <w:jc w:val="left"/>
            </w:pPr>
            <w:r>
              <w:t xml:space="preserve">2.20</w:t>
            </w:r>
          </w:p>
        </w:tc>
        <w:tc>
          <w:tcPr/>
          <w:p>
            <w:pPr>
              <w:pStyle w:val="Compact"/>
              <w:jc w:val="left"/>
            </w:pPr>
            <w:r>
              <w:t xml:space="preserve">0.44</w:t>
            </w:r>
          </w:p>
        </w:tc>
      </w:tr>
      <w:tr>
        <w:tc>
          <w:tcPr/>
          <w:p>
            <w:pPr>
              <w:pStyle w:val="Compact"/>
              <w:jc w:val="left"/>
            </w:pPr>
            <w:r>
              <w:t xml:space="preserve">Plastic Housing</w:t>
            </w:r>
          </w:p>
        </w:tc>
        <w:tc>
          <w:tcPr/>
          <w:p>
            <w:pPr>
              <w:pStyle w:val="Compact"/>
              <w:jc w:val="left"/>
            </w:pPr>
            <w:r>
              <w:t xml:space="preserve">0.15</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Electronic Components</w:t>
            </w:r>
          </w:p>
        </w:tc>
        <w:tc>
          <w:tcPr/>
          <w:p>
            <w:pPr>
              <w:pStyle w:val="Compact"/>
              <w:jc w:val="left"/>
            </w:pPr>
            <w:r>
              <w:t xml:space="preserve">0.03</w:t>
            </w:r>
          </w:p>
        </w:tc>
        <w:tc>
          <w:tcPr/>
          <w:p>
            <w:pPr>
              <w:pStyle w:val="Compact"/>
              <w:jc w:val="left"/>
            </w:pPr>
            <w:r>
              <w:t xml:space="preserve">50.00</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0.10</w:t>
            </w:r>
          </w:p>
        </w:tc>
        <w:tc>
          <w:tcPr/>
          <w:p>
            <w:pPr>
              <w:pStyle w:val="Compact"/>
              <w:jc w:val="left"/>
            </w:pPr>
            <w:r>
              <w:t xml:space="preserve">80.00</w:t>
            </w:r>
          </w:p>
        </w:tc>
        <w:tc>
          <w:tcPr/>
          <w:p>
            <w:pPr>
              <w:pStyle w:val="Compact"/>
              <w:jc w:val="left"/>
            </w:pPr>
            <w:r>
              <w:t xml:space="preserve">8.00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Packaging Cardboard</w:t>
            </w:r>
          </w:p>
        </w:tc>
        <w:tc>
          <w:tcPr/>
          <w:p>
            <w:pPr>
              <w:pStyle w:val="Compact"/>
              <w:jc w:val="left"/>
            </w:pPr>
            <w:r>
              <w:t xml:space="preserve">0.05</w:t>
            </w:r>
          </w:p>
        </w:tc>
        <w:tc>
          <w:tcPr/>
          <w:p>
            <w:pPr>
              <w:pStyle w:val="Compact"/>
              <w:jc w:val="left"/>
            </w:pPr>
            <w:r>
              <w:t xml:space="preserve">0.60</w:t>
            </w:r>
          </w:p>
        </w:tc>
        <w:tc>
          <w:tcPr/>
          <w:p>
            <w:pPr>
              <w:pStyle w:val="Compact"/>
              <w:jc w:val="left"/>
            </w:pPr>
            <w:r>
              <w:t xml:space="preserve">0.03</w:t>
            </w:r>
          </w:p>
        </w:tc>
      </w:tr>
      <w:tr>
        <w:tc>
          <w:tcPr>
            <w:gridSpan w:val="3"/>
          </w:tcPr>
          <w:p>
            <w:pPr>
              <w:pStyle w:val="Compact"/>
              <w:jc w:val="left"/>
            </w:pPr>
            <w:r>
              <w:rPr>
                <w:bCs/>
                <w:b/>
              </w:rPr>
              <w:t xml:space="preserve">Subtotal Raw Materials</w:t>
            </w:r>
          </w:p>
        </w:tc>
        <w:tc>
          <w:tcPr/>
          <w:p>
            <w:pPr>
              <w:pStyle w:val="Compact"/>
              <w:jc w:val="left"/>
            </w:pPr>
            <w:r>
              <w:rPr>
                <w:bCs/>
                <w:b/>
              </w:rPr>
              <w:t xml:space="preserve">11.335 kg CO2e</w:t>
            </w:r>
          </w:p>
        </w:tc>
      </w:tr>
    </w:tbl>
    <w:bookmarkEnd w:id="34"/>
    <w:bookmarkStart w:id="35" w:name="X0f9b7da28e29134bfa3c937be4220e535ff1c8b"/>
    <w:p>
      <w:pPr>
        <w:pStyle w:val="Heading3"/>
      </w:pPr>
      <w:r>
        <w:t xml:space="preserve">3.2.2. Manufacturing (Scope 3, Category 1: Purchased Goods and Services)</w:t>
      </w:r>
    </w:p>
    <w:p>
      <w:pPr>
        <w:pStyle w:val="FirstParagraph"/>
      </w:pPr>
      <w:r>
        <w:t xml:space="preserve">Emissions from the energy consumed during the assembly and manufacturing processes in China.</w:t>
      </w:r>
    </w:p>
    <w:p>
      <w:pPr>
        <w:numPr>
          <w:ilvl w:val="0"/>
          <w:numId w:val="1008"/>
        </w:numPr>
        <w:pStyle w:val="Compact"/>
      </w:pPr>
      <w:r>
        <w:t xml:space="preserve">Energy Intensity: 1.5 kWh/unit</w:t>
      </w:r>
    </w:p>
    <w:p>
      <w:pPr>
        <w:numPr>
          <w:ilvl w:val="0"/>
          <w:numId w:val="1008"/>
        </w:numPr>
        <w:pStyle w:val="Compact"/>
      </w:pPr>
      <w:r>
        <w:t xml:space="preserve">Renewable Energy Usage: 50%</w:t>
      </w:r>
    </w:p>
    <w:p>
      <w:pPr>
        <w:numPr>
          <w:ilvl w:val="0"/>
          <w:numId w:val="1008"/>
        </w:numPr>
        <w:pStyle w:val="Compact"/>
      </w:pPr>
      <w:r>
        <w:t xml:space="preserve">Non-renewable Energy: 1.5 kWh/unit * (1 - 0.50) = 0.75 kWh/unit</w:t>
      </w:r>
    </w:p>
    <w:p>
      <w:pPr>
        <w:numPr>
          <w:ilvl w:val="0"/>
          <w:numId w:val="1008"/>
        </w:numPr>
        <w:pStyle w:val="Compact"/>
      </w:pPr>
      <w:r>
        <w:t xml:space="preserve">Renewable Energy: 1.5 kWh/unit * 0.50 = 0.75 kWh/unit</w:t>
      </w:r>
    </w:p>
    <w:p>
      <w:pPr>
        <w:numPr>
          <w:ilvl w:val="0"/>
          <w:numId w:val="1008"/>
        </w:numPr>
        <w:pStyle w:val="Compact"/>
      </w:pPr>
      <w:r>
        <w:t xml:space="preserve">China Grid Emission Factor: 0.70 kg CO2e/kWh</w:t>
      </w:r>
    </w:p>
    <w:p>
      <w:pPr>
        <w:numPr>
          <w:ilvl w:val="0"/>
          <w:numId w:val="1008"/>
        </w:numPr>
        <w:pStyle w:val="Compact"/>
      </w:pPr>
      <w:r>
        <w:t xml:space="preserve">Renewable Energy Emission Factor: 0.00 kg CO2e/kWh</w:t>
      </w:r>
    </w:p>
    <w:p>
      <w:pPr>
        <w:numPr>
          <w:ilvl w:val="0"/>
          <w:numId w:val="1008"/>
        </w:numPr>
        <w:pStyle w:val="Compact"/>
      </w:pPr>
      <w:r>
        <w:t xml:space="preserve">Calculation: (0.75 kWh/unit * 0.70 kg CO2e/kWh) + (0.75 kWh/unit * 0.00 kg CO2e/kWh) =</w:t>
      </w:r>
      <w:r>
        <w:t xml:space="preserve"> </w:t>
      </w:r>
      <w:r>
        <w:rPr>
          <w:bCs/>
          <w:b/>
        </w:rPr>
        <w:t xml:space="preserve">0.525 kg CO2e</w:t>
      </w:r>
    </w:p>
    <w:p>
      <w:pPr>
        <w:pStyle w:val="FirstParagraph"/>
      </w:pPr>
      <w:r>
        <w:rPr>
          <w:bCs/>
          <w:b/>
        </w:rPr>
        <w:t xml:space="preserve">Subtotal Manufacturing: 0.525 kg CO2e</w:t>
      </w:r>
    </w:p>
    <w:bookmarkEnd w:id="35"/>
    <w:bookmarkStart w:id="36" w:name="transportation-scope-3-categories-4-9"/>
    <w:p>
      <w:pPr>
        <w:pStyle w:val="Heading3"/>
      </w:pPr>
      <w:r>
        <w:t xml:space="preserve">3.2.3. Transportation (Scope 3, Categories 4 &amp; 9)</w:t>
      </w:r>
    </w:p>
    <w:p>
      <w:pPr>
        <w:pStyle w:val="FirstParagraph"/>
      </w:pPr>
      <w:r>
        <w:t xml:space="preserve">This includes both upstream and downstream logistics.</w:t>
      </w:r>
    </w:p>
    <w:p>
      <w:pPr>
        <w:numPr>
          <w:ilvl w:val="0"/>
          <w:numId w:val="1009"/>
        </w:numPr>
        <w:pStyle w:val="Compact"/>
      </w:pPr>
      <w:r>
        <w:rPr>
          <w:bCs/>
          <w:b/>
        </w:rPr>
        <w:t xml:space="preserve">Upstream Transportation (Scope 3, Category 4: Upstream Transportation and Distribution):</w:t>
      </w:r>
    </w:p>
    <w:p>
      <w:pPr>
        <w:numPr>
          <w:ilvl w:val="1"/>
          <w:numId w:val="1010"/>
        </w:numPr>
        <w:pStyle w:val="Compact"/>
      </w:pPr>
      <w:r>
        <w:t xml:space="preserve">Distance: 15,000 km (Ocean Freight)</w:t>
      </w:r>
    </w:p>
    <w:p>
      <w:pPr>
        <w:numPr>
          <w:ilvl w:val="1"/>
          <w:numId w:val="1010"/>
        </w:numPr>
        <w:pStyle w:val="Compact"/>
      </w:pPr>
      <w:r>
        <w:t xml:space="preserve">Product Weight for transport calculation: 0.5 kg (assuming all materials coalesce into this product weight for upstream transport average)</w:t>
      </w:r>
    </w:p>
    <w:p>
      <w:pPr>
        <w:numPr>
          <w:ilvl w:val="1"/>
          <w:numId w:val="1010"/>
        </w:numPr>
        <w:pStyle w:val="Compact"/>
      </w:pPr>
      <w:r>
        <w:t xml:space="preserve">Ocean Freight EF: 0.010 kg CO2e/tonne-km</w:t>
      </w:r>
    </w:p>
    <w:p>
      <w:pPr>
        <w:numPr>
          <w:ilvl w:val="1"/>
          <w:numId w:val="1010"/>
        </w:numPr>
        <w:pStyle w:val="Compact"/>
      </w:pPr>
      <w:r>
        <w:t xml:space="preserve">Calculation: (0.5 kg * 15,000 km * 0.010 kg/tonne-km) / 1000 kg/tonne =</w:t>
      </w:r>
      <w:r>
        <w:t xml:space="preserve"> </w:t>
      </w:r>
      <w:r>
        <w:rPr>
          <w:bCs/>
          <w:b/>
        </w:rPr>
        <w:t xml:space="preserve">0.075 kg CO2e</w:t>
      </w:r>
    </w:p>
    <w:p>
      <w:pPr>
        <w:numPr>
          <w:ilvl w:val="0"/>
          <w:numId w:val="1009"/>
        </w:numPr>
        <w:pStyle w:val="Compact"/>
      </w:pPr>
      <w:r>
        <w:rPr>
          <w:bCs/>
          <w:b/>
        </w:rPr>
        <w:t xml:space="preserve">Downstream Transportation (Scope 3, Category 9: Downstream Transportation and Distribution):</w:t>
      </w:r>
    </w:p>
    <w:p>
      <w:pPr>
        <w:numPr>
          <w:ilvl w:val="1"/>
          <w:numId w:val="1011"/>
        </w:numPr>
        <w:pStyle w:val="Compact"/>
      </w:pPr>
      <w:r>
        <w:t xml:space="preserve">Factory to Europe Distribution Center (Ocean Freight):</w:t>
      </w:r>
    </w:p>
    <w:p>
      <w:pPr>
        <w:numPr>
          <w:ilvl w:val="2"/>
          <w:numId w:val="1012"/>
        </w:numPr>
        <w:pStyle w:val="Compact"/>
      </w:pPr>
      <w:r>
        <w:t xml:space="preserve">Distance: 15,000 km</w:t>
      </w:r>
    </w:p>
    <w:p>
      <w:pPr>
        <w:numPr>
          <w:ilvl w:val="2"/>
          <w:numId w:val="1012"/>
        </w:numPr>
        <w:pStyle w:val="Compact"/>
      </w:pPr>
      <w:r>
        <w:t xml:space="preserve">Product Weight: 0.5 kg</w:t>
      </w:r>
    </w:p>
    <w:p>
      <w:pPr>
        <w:numPr>
          <w:ilvl w:val="2"/>
          <w:numId w:val="1012"/>
        </w:numPr>
        <w:pStyle w:val="Compact"/>
      </w:pPr>
      <w:r>
        <w:t xml:space="preserve">Ocean Freight EF: 0.010 kg CO2e/tonne-km</w:t>
      </w:r>
    </w:p>
    <w:p>
      <w:pPr>
        <w:numPr>
          <w:ilvl w:val="2"/>
          <w:numId w:val="1012"/>
        </w:numPr>
        <w:pStyle w:val="Compact"/>
      </w:pPr>
      <w:r>
        <w:t xml:space="preserve">Calculation: (0.5 kg * 15,000 km * 0.010 kg/tonne-km) / 1000 kg/tonne =</w:t>
      </w:r>
      <w:r>
        <w:t xml:space="preserve"> </w:t>
      </w:r>
      <w:r>
        <w:rPr>
          <w:bCs/>
          <w:b/>
        </w:rPr>
        <w:t xml:space="preserve">0.075 kg CO2e</w:t>
      </w:r>
    </w:p>
    <w:p>
      <w:pPr>
        <w:numPr>
          <w:ilvl w:val="1"/>
          <w:numId w:val="1011"/>
        </w:numPr>
        <w:pStyle w:val="Compact"/>
      </w:pPr>
      <w:r>
        <w:t xml:space="preserve">Last-Mile Delivery (Road Freight - Light Commercial Vehicle):</w:t>
      </w:r>
    </w:p>
    <w:p>
      <w:pPr>
        <w:numPr>
          <w:ilvl w:val="2"/>
          <w:numId w:val="1013"/>
        </w:numPr>
        <w:pStyle w:val="Compact"/>
      </w:pPr>
      <w:r>
        <w:t xml:space="preserve">Distance: 500 km</w:t>
      </w:r>
    </w:p>
    <w:p>
      <w:pPr>
        <w:numPr>
          <w:ilvl w:val="2"/>
          <w:numId w:val="1013"/>
        </w:numPr>
        <w:pStyle w:val="Compact"/>
      </w:pPr>
      <w:r>
        <w:t xml:space="preserve">Product Weight: 0.5 kg</w:t>
      </w:r>
    </w:p>
    <w:p>
      <w:pPr>
        <w:numPr>
          <w:ilvl w:val="2"/>
          <w:numId w:val="1013"/>
        </w:numPr>
        <w:pStyle w:val="Compact"/>
      </w:pPr>
      <w:r>
        <w:t xml:space="preserve">Road Freight (LCV) EF: 0.200 kg CO2e/tonne-km</w:t>
      </w:r>
    </w:p>
    <w:p>
      <w:pPr>
        <w:numPr>
          <w:ilvl w:val="2"/>
          <w:numId w:val="1013"/>
        </w:numPr>
        <w:pStyle w:val="Compact"/>
      </w:pPr>
      <w:r>
        <w:t xml:space="preserve">Calculation: (0.5 kg * 500 km * 0.200 kg/tonne-km) / 1000 kg/tonne =</w:t>
      </w:r>
      <w:r>
        <w:t xml:space="preserve"> </w:t>
      </w:r>
      <w:r>
        <w:rPr>
          <w:bCs/>
          <w:b/>
        </w:rPr>
        <w:t xml:space="preserve">0.050 kg CO2e</w:t>
      </w:r>
    </w:p>
    <w:p>
      <w:pPr>
        <w:pStyle w:val="FirstParagraph"/>
      </w:pPr>
      <w:r>
        <w:rPr>
          <w:bCs/>
          <w:b/>
        </w:rPr>
        <w:t xml:space="preserve">Subtotal Transportation: 0.075 + 0.075 + 0.050 = 0.200 kg CO2e</w:t>
      </w:r>
    </w:p>
    <w:bookmarkEnd w:id="36"/>
    <w:bookmarkStart w:id="37" w:name="Xc8d47610e025d3b1fe367d676386ecee874efa3"/>
    <w:p>
      <w:pPr>
        <w:pStyle w:val="Heading3"/>
      </w:pPr>
      <w:r>
        <w:t xml:space="preserve">3.2.4. Use Phase (Scope 3, Category 11: Use of Sold Products)</w:t>
      </w:r>
    </w:p>
    <w:p>
      <w:pPr>
        <w:pStyle w:val="FirstParagraph"/>
      </w:pPr>
      <w:r>
        <w:t xml:space="preserve">Emissions from the electricity consumed by</w:t>
      </w:r>
      <w:r>
        <w:t xml:space="preserve"> </w:t>
      </w:r>
      <w:r>
        <w:rPr>
          <w:bCs/>
          <w:b/>
        </w:rPr>
        <w:t xml:space="preserve">wgqpxetzkw</w:t>
      </w:r>
      <w:r>
        <w:t xml:space="preserve"> </w:t>
      </w:r>
      <w:r>
        <w:t xml:space="preserve">during its operational lifespan.</w:t>
      </w:r>
    </w:p>
    <w:p>
      <w:pPr>
        <w:numPr>
          <w:ilvl w:val="0"/>
          <w:numId w:val="1014"/>
        </w:numPr>
        <w:pStyle w:val="Compact"/>
      </w:pPr>
      <w:r>
        <w:t xml:space="preserve">Product Lifespan: 3 years</w:t>
      </w:r>
    </w:p>
    <w:p>
      <w:pPr>
        <w:numPr>
          <w:ilvl w:val="0"/>
          <w:numId w:val="1014"/>
        </w:numPr>
        <w:pStyle w:val="Compact"/>
      </w:pPr>
      <w:r>
        <w:t xml:space="preserve">Energy Consumption in Use: 5 kWh/year</w:t>
      </w:r>
    </w:p>
    <w:p>
      <w:pPr>
        <w:numPr>
          <w:ilvl w:val="0"/>
          <w:numId w:val="1014"/>
        </w:numPr>
        <w:pStyle w:val="Compact"/>
      </w:pPr>
      <w:r>
        <w:t xml:space="preserve">European Grid Emission Factor: 0.181 kg CO2e/kWh</w:t>
      </w:r>
    </w:p>
    <w:p>
      <w:pPr>
        <w:numPr>
          <w:ilvl w:val="0"/>
          <w:numId w:val="1014"/>
        </w:numPr>
        <w:pStyle w:val="Compact"/>
      </w:pPr>
      <w:r>
        <w:t xml:space="preserve">Calculation: 3 years * 5 kWh/year * 0.181 kg CO2e/kWh =</w:t>
      </w:r>
      <w:r>
        <w:t xml:space="preserve"> </w:t>
      </w:r>
      <w:r>
        <w:rPr>
          <w:bCs/>
          <w:b/>
        </w:rPr>
        <w:t xml:space="preserve">2.715 kg CO2e</w:t>
      </w:r>
    </w:p>
    <w:p>
      <w:pPr>
        <w:pStyle w:val="FirstParagraph"/>
      </w:pPr>
      <w:r>
        <w:rPr>
          <w:bCs/>
          <w:b/>
        </w:rPr>
        <w:t xml:space="preserve">Subtotal Use Phase: 2.715 kg CO2e</w:t>
      </w:r>
    </w:p>
    <w:bookmarkEnd w:id="37"/>
    <w:bookmarkStart w:id="38" w:name="X9982929b618de862c11111658ccce8db3e98553"/>
    <w:p>
      <w:pPr>
        <w:pStyle w:val="Heading3"/>
      </w:pPr>
      <w:r>
        <w:t xml:space="preserve">3.2.5. End-of-Life (EoL) (Scope 3, Category 12: End-of-Life Treatment of Sold Products)</w:t>
      </w:r>
    </w:p>
    <w:p>
      <w:pPr>
        <w:pStyle w:val="FirstParagraph"/>
      </w:pPr>
      <w:r>
        <w:t xml:space="preserve">This accounts for emissions from disposal (landfilling, incineration) and credits from recycling.</w:t>
      </w:r>
    </w:p>
    <w:p>
      <w:pPr>
        <w:numPr>
          <w:ilvl w:val="0"/>
          <w:numId w:val="1015"/>
        </w:numPr>
        <w:pStyle w:val="Compact"/>
      </w:pPr>
      <w:r>
        <w:t xml:space="preserve">Product Weight: 0.5 kg</w:t>
      </w:r>
    </w:p>
    <w:p>
      <w:pPr>
        <w:numPr>
          <w:ilvl w:val="0"/>
          <w:numId w:val="1015"/>
        </w:numPr>
        <w:pStyle w:val="Compact"/>
      </w:pPr>
      <w:r>
        <w:t xml:space="preserve">Recyclability Percentage: 75%</w:t>
      </w:r>
    </w:p>
    <w:p>
      <w:pPr>
        <w:numPr>
          <w:ilvl w:val="0"/>
          <w:numId w:val="1015"/>
        </w:numPr>
        <w:pStyle w:val="Compact"/>
      </w:pPr>
      <w:r>
        <w:t xml:space="preserve">Circular/Take-back Programs: Yes, formal program exists.</w:t>
      </w:r>
    </w:p>
    <w:p>
      <w:pPr>
        <w:numPr>
          <w:ilvl w:val="0"/>
          <w:numId w:val="1015"/>
        </w:numPr>
        <w:pStyle w:val="Compact"/>
      </w:pPr>
      <w:r>
        <w:t xml:space="preserve">Waste to Landfill/Incineration: (1 - 0.75) = 0.25 kg</w:t>
      </w:r>
    </w:p>
    <w:p>
      <w:pPr>
        <w:numPr>
          <w:ilvl w:val="0"/>
          <w:numId w:val="1015"/>
        </w:numPr>
        <w:pStyle w:val="Compact"/>
      </w:pPr>
      <w:r>
        <w:t xml:space="preserve">Recycled Material: 0.75 kg</w:t>
      </w:r>
    </w:p>
    <w:p>
      <w:pPr>
        <w:numPr>
          <w:ilvl w:val="0"/>
          <w:numId w:val="1015"/>
        </w:numPr>
        <w:pStyle w:val="Compact"/>
      </w:pPr>
      <w:r>
        <w:t xml:space="preserve">Illustrative Disposal Emission Factor (e.g., landfill/incineration of electronics, simplified): 2.0 kg CO2e/kg (for the 0.25 kg disposed)</w:t>
      </w:r>
    </w:p>
    <w:p>
      <w:pPr>
        <w:numPr>
          <w:ilvl w:val="0"/>
          <w:numId w:val="1015"/>
        </w:numPr>
        <w:pStyle w:val="Compact"/>
      </w:pPr>
      <w:r>
        <w:t xml:space="preserve">Illustrative Avoided Emissions Factor (from recycling, simplified): -1.5 kg CO2e/kg (for the 0.75 kg recycled)</w:t>
      </w:r>
    </w:p>
    <w:p>
      <w:pPr>
        <w:numPr>
          <w:ilvl w:val="0"/>
          <w:numId w:val="1015"/>
        </w:numPr>
        <w:pStyle w:val="Compact"/>
      </w:pPr>
      <w:r>
        <w:t xml:space="preserve">Calculation: (0.25 kg * 2.0 kg CO2e/kg) + (0.75 kg * -1.5 kg CO2e/kg) = 0.50 - 1.125 =</w:t>
      </w:r>
      <w:r>
        <w:t xml:space="preserve"> </w:t>
      </w:r>
      <w:r>
        <w:rPr>
          <w:bCs/>
          <w:b/>
        </w:rPr>
        <w:t xml:space="preserve">-0.625 kg CO2e</w:t>
      </w:r>
    </w:p>
    <w:p>
      <w:pPr>
        <w:pStyle w:val="FirstParagraph"/>
      </w:pPr>
      <w:r>
        <w:rPr>
          <w:bCs/>
          <w:b/>
        </w:rPr>
        <w:t xml:space="preserve">Subtotal End-of-Life: -0.625 kg CO2e</w:t>
      </w:r>
      <w:r>
        <w:t xml:space="preserve"> </w:t>
      </w:r>
      <w:r>
        <w:t xml:space="preserve">(Negative value indicates a net carbon benefit due to high recyclability and circular programs)</w:t>
      </w:r>
    </w:p>
    <w:bookmarkEnd w:id="38"/>
    <w:bookmarkEnd w:id="39"/>
    <w:bookmarkStart w:id="40" w:name="total-product-carbon-footprint-pcf"/>
    <w:p>
      <w:pPr>
        <w:pStyle w:val="Heading2"/>
      </w:pPr>
      <w:r>
        <w:t xml:space="preserve">3.3. Total Product Carbon Footprint (PCF)</w:t>
      </w:r>
    </w:p>
    <w:p>
      <w:pPr>
        <w:pStyle w:val="FirstParagraph"/>
      </w:pPr>
      <w:r>
        <w:t xml:space="preserve">Aggregating emissions from all lifecycle stages:</w:t>
      </w:r>
    </w:p>
    <w:p>
      <w:pPr>
        <w:numPr>
          <w:ilvl w:val="0"/>
          <w:numId w:val="1016"/>
        </w:numPr>
        <w:pStyle w:val="Compact"/>
      </w:pPr>
      <w:r>
        <w:t xml:space="preserve">Raw Material Acquisition: 11.335 kg CO2e</w:t>
      </w:r>
    </w:p>
    <w:p>
      <w:pPr>
        <w:numPr>
          <w:ilvl w:val="0"/>
          <w:numId w:val="1016"/>
        </w:numPr>
        <w:pStyle w:val="Compact"/>
      </w:pPr>
      <w:r>
        <w:t xml:space="preserve">Manufacturing: 0.525 kg CO2e</w:t>
      </w:r>
    </w:p>
    <w:p>
      <w:pPr>
        <w:numPr>
          <w:ilvl w:val="0"/>
          <w:numId w:val="1016"/>
        </w:numPr>
        <w:pStyle w:val="Compact"/>
      </w:pPr>
      <w:r>
        <w:t xml:space="preserve">Transportation: 0.200 kg CO2e</w:t>
      </w:r>
    </w:p>
    <w:p>
      <w:pPr>
        <w:numPr>
          <w:ilvl w:val="0"/>
          <w:numId w:val="1016"/>
        </w:numPr>
        <w:pStyle w:val="Compact"/>
      </w:pPr>
      <w:r>
        <w:t xml:space="preserve">Use Phase: 2.715 kg CO2e</w:t>
      </w:r>
    </w:p>
    <w:p>
      <w:pPr>
        <w:numPr>
          <w:ilvl w:val="0"/>
          <w:numId w:val="1016"/>
        </w:numPr>
        <w:pStyle w:val="Compact"/>
      </w:pPr>
      <w:r>
        <w:t xml:space="preserve">End-of-Life: -0.625 kg CO2e</w:t>
      </w:r>
    </w:p>
    <w:p>
      <w:pPr>
        <w:pStyle w:val="FirstParagraph"/>
      </w:pPr>
      <w:r>
        <w:rPr>
          <w:bCs/>
          <w:b/>
        </w:rPr>
        <w:t xml:space="preserve">Total PCF for 1.0 unit of wgqpxetzkw: 11.335 + 0.525 + 0.200 + 2.715 - 0.625 = 14.15 kg CO2e</w:t>
      </w:r>
    </w:p>
    <w:bookmarkEnd w:id="40"/>
    <w:bookmarkStart w:id="41" w:name="emission-hotspots-and-reliability"/>
    <w:p>
      <w:pPr>
        <w:pStyle w:val="Heading2"/>
      </w:pPr>
      <w:r>
        <w:t xml:space="preserve">3.4. Emission Hotspots and Reliability</w:t>
      </w:r>
    </w:p>
    <w:p>
      <w:pPr>
        <w:pStyle w:val="FirstParagraph"/>
      </w:pPr>
      <w:r>
        <w:t xml:space="preserve">The analysis reveals the following key hotspots:</w:t>
      </w:r>
    </w:p>
    <w:p>
      <w:pPr>
        <w:numPr>
          <w:ilvl w:val="0"/>
          <w:numId w:val="1017"/>
        </w:numPr>
        <w:pStyle w:val="Compact"/>
      </w:pPr>
      <w:r>
        <w:rPr>
          <w:bCs/>
          <w:b/>
        </w:rPr>
        <w:t xml:space="preserve">Raw Material Acquisition (80% of total PCF):</w:t>
      </w:r>
      <w:r>
        <w:t xml:space="preserve"> </w:t>
      </w:r>
      <w:r>
        <w:t xml:space="preserve">This stage, particularly the Lithium-ion Battery and other electronic components, accounts for the overwhelming majority of the product\'s carbon footprint. This highlights the energy and resource intensiveness of electronics supply chains.</w:t>
      </w:r>
    </w:p>
    <w:p>
      <w:pPr>
        <w:numPr>
          <w:ilvl w:val="0"/>
          <w:numId w:val="1017"/>
        </w:numPr>
        <w:pStyle w:val="Compact"/>
      </w:pPr>
      <w:r>
        <w:rPr>
          <w:bCs/>
          <w:b/>
        </w:rPr>
        <w:t xml:space="preserve">Use Phase (19% of total PCF):</w:t>
      </w:r>
      <w:r>
        <w:t xml:space="preserve"> </w:t>
      </w:r>
      <w:r>
        <w:t xml:space="preserve">The electricity consumption during the product\'s 3-year lifespan contributes significantly. The European grid mix, while decarbonizing, still has an impact.</w:t>
      </w:r>
    </w:p>
    <w:p>
      <w:pPr>
        <w:numPr>
          <w:ilvl w:val="0"/>
          <w:numId w:val="1017"/>
        </w:numPr>
        <w:pStyle w:val="Compact"/>
      </w:pPr>
      <w:r>
        <w:rPr>
          <w:bCs/>
          <w:b/>
        </w:rPr>
        <w:t xml:space="preserve">Manufacturing (4% of total PCF):</w:t>
      </w:r>
      <w:r>
        <w:t xml:space="preserve"> </w:t>
      </w:r>
      <w:r>
        <w:t xml:space="preserve">Despite 50% renewable energy usage, the remaining grid electricity in China still contributes noticeably.</w:t>
      </w:r>
    </w:p>
    <w:p>
      <w:pPr>
        <w:numPr>
          <w:ilvl w:val="0"/>
          <w:numId w:val="1017"/>
        </w:numPr>
        <w:pStyle w:val="Compact"/>
      </w:pPr>
      <w:r>
        <w:rPr>
          <w:bCs/>
          <w:b/>
        </w:rPr>
        <w:t xml:space="preserve">Transportation (1% of total PCF):</w:t>
      </w:r>
      <w:r>
        <w:t xml:space="preserve"> </w:t>
      </w:r>
      <w:r>
        <w:t xml:space="preserve">Given the relatively small product weight and efficient ocean freight, transportation has a comparatively lower impact.</w:t>
      </w:r>
    </w:p>
    <w:p>
      <w:pPr>
        <w:numPr>
          <w:ilvl w:val="0"/>
          <w:numId w:val="1017"/>
        </w:numPr>
        <w:pStyle w:val="Compact"/>
      </w:pPr>
      <w:r>
        <w:rPr>
          <w:bCs/>
          <w:b/>
        </w:rPr>
        <w:t xml:space="preserve">End-of-Life (Net Carbon Benefit):</w:t>
      </w:r>
      <w:r>
        <w:t xml:space="preserve"> </w:t>
      </w:r>
      <w:r>
        <w:t xml:space="preserve">High recyclability and established take-back programs result in a net carbon saving at end-of-life, offsetting some upstream emissions.</w:t>
      </w:r>
    </w:p>
    <w:p>
      <w:pPr>
        <w:pStyle w:val="FirstParagraph"/>
      </w:pPr>
      <w:r>
        <w:rPr>
          <w:bCs/>
          <w:b/>
        </w:rPr>
        <w:t xml:space="preserve">Reliability:</w:t>
      </w:r>
      <w:r>
        <w:t xml:space="preserve"> </w:t>
      </w:r>
      <w:r>
        <w:t xml:space="preserve">The reliability of this report is directly tied to the quality of input data. While standard emission factors are used, the illustrative nature of the BOM details and some operational parameters (due to lack of specific structured input data) means the results are indicative. To enhance reliability,</w:t>
      </w:r>
      <w:r>
        <w:t xml:space="preserve"> </w:t>
      </w:r>
      <w:r>
        <w:rPr>
          <w:bCs/>
          <w:b/>
        </w:rPr>
        <w:t xml:space="preserve">qyufpffdqr</w:t>
      </w:r>
      <w:r>
        <w:t xml:space="preserve"> </w:t>
      </w:r>
      <w:r>
        <w:t xml:space="preserve">should focus on obtaining primary, supplier-specific data for materials and manufacturing energy, especially for high-impact components like batteries and PCBs, in line with the evolving GHG Protocol Scope 3 requirements for data disaggregation.</w:t>
      </w:r>
    </w:p>
    <w:p>
      <w:r>
        <w:pict>
          <v:rect style="width:0;height:1.5pt" o:hralign="center" o:hrstd="t" o:hr="t"/>
        </w:pict>
      </w:r>
    </w:p>
    <w:bookmarkEnd w:id="41"/>
    <w:bookmarkEnd w:id="42"/>
    <w:bookmarkStart w:id="43" w:name="recommendations-for-carbon-reduction"/>
    <w:p>
      <w:pPr>
        <w:pStyle w:val="Heading1"/>
      </w:pPr>
      <w:r>
        <w:t xml:space="preserve">4. Recommendations for Carbon Reduction</w:t>
      </w:r>
    </w:p>
    <w:p>
      <w:pPr>
        <w:pStyle w:val="FirstParagraph"/>
      </w:pPr>
      <w:r>
        <w:t xml:space="preserve">Based on the PCF analysis, the following recommendations are provided to</w:t>
      </w:r>
      <w:r>
        <w:t xml:space="preserve"> </w:t>
      </w:r>
      <w:r>
        <w:rPr>
          <w:bCs/>
          <w:b/>
        </w:rPr>
        <w:t xml:space="preserve">qyufpffdqr</w:t>
      </w:r>
      <w:r>
        <w:t xml:space="preserve"> </w:t>
      </w:r>
      <w:r>
        <w:t xml:space="preserve">for reducing the environmental impact of</w:t>
      </w:r>
      <w:r>
        <w:t xml:space="preserve"> </w:t>
      </w:r>
      <w:r>
        <w:rPr>
          <w:bCs/>
          <w:b/>
        </w:rPr>
        <w:t xml:space="preserve">wgqpxetzkw</w:t>
      </w:r>
      <w:r>
        <w:t xml:space="preserve">:</w:t>
      </w:r>
    </w:p>
    <w:p>
      <w:pPr>
        <w:numPr>
          <w:ilvl w:val="0"/>
          <w:numId w:val="1018"/>
        </w:numPr>
        <w:pStyle w:val="Compact"/>
      </w:pPr>
      <w:r>
        <w:rPr>
          <w:bCs/>
          <w:b/>
        </w:rPr>
        <w:t xml:space="preserve">Supply Chain Engagement:</w:t>
      </w:r>
      <w:r>
        <w:t xml:space="preserve"> </w:t>
      </w:r>
      <w:r>
        <w:t xml:space="preserve">Prioritize engagement with suppliers of high-impact components (e.g., batteries, PCBs, specialized electronics) to encourage their decarbonization efforts, facilitate the provision of primary emission data, and explore alternative, lower-carbon materials or manufacturing processes. This aligns with the 2026 GHG Protocol Scope 3 focus on data quality and primary data collection.</w:t>
      </w:r>
    </w:p>
    <w:p>
      <w:pPr>
        <w:numPr>
          <w:ilvl w:val="0"/>
          <w:numId w:val="1018"/>
        </w:numPr>
        <w:pStyle w:val="Compact"/>
      </w:pPr>
      <w:r>
        <w:rPr>
          <w:bCs/>
          <w:b/>
        </w:rPr>
        <w:t xml:space="preserve">Material Optimization:</w:t>
      </w:r>
      <w:r>
        <w:t xml:space="preserve"> </w:t>
      </w:r>
      <w:r>
        <w:t xml:space="preserve">Investigate opportunities to use recycled content in plastics and metals, or explore bio-based/renewable material alternatives, particularly for the casing and housing, without compromising product quality or lifespan.</w:t>
      </w:r>
    </w:p>
    <w:p>
      <w:pPr>
        <w:numPr>
          <w:ilvl w:val="0"/>
          <w:numId w:val="1018"/>
        </w:numPr>
        <w:pStyle w:val="Compact"/>
      </w:pPr>
      <w:r>
        <w:rPr>
          <w:bCs/>
          <w:b/>
        </w:rPr>
        <w:t xml:space="preserve">Renewable Energy Procurement:</w:t>
      </w:r>
      <w:r>
        <w:t xml:space="preserve"> </w:t>
      </w:r>
      <w:r>
        <w:t xml:space="preserve">Increase the percentage of renewable energy procured for manufacturing operations in China. Explore options for virtual power purchase agreements (VPPAs) or direct investments in renewable energy projects to further reduce manufacturing emissions beyond the current 50%.</w:t>
      </w:r>
    </w:p>
    <w:p>
      <w:pPr>
        <w:numPr>
          <w:ilvl w:val="0"/>
          <w:numId w:val="1018"/>
        </w:numPr>
        <w:pStyle w:val="Compact"/>
      </w:pPr>
      <w:r>
        <w:rPr>
          <w:bCs/>
          <w:b/>
        </w:rPr>
        <w:t xml:space="preserve">Energy Efficiency in Use:</w:t>
      </w:r>
      <w:r>
        <w:t xml:space="preserve"> </w:t>
      </w:r>
      <w:r>
        <w:t xml:space="preserve">Develop and implement strategies to reduce the product\'s energy consumption during its use phase. This could involve more efficient components, power-saving modes, or user education on energy-efficient usage.</w:t>
      </w:r>
    </w:p>
    <w:p>
      <w:pPr>
        <w:numPr>
          <w:ilvl w:val="0"/>
          <w:numId w:val="1018"/>
        </w:numPr>
        <w:pStyle w:val="Compact"/>
      </w:pPr>
      <w:r>
        <w:rPr>
          <w:bCs/>
          <w:b/>
        </w:rPr>
        <w:t xml:space="preserve">Enhance Circularity:</w:t>
      </w:r>
      <w:r>
        <w:t xml:space="preserve"> </w:t>
      </w:r>
      <w:r>
        <w:t xml:space="preserve">Continue to strengthen and promote the existing circular/take-back programs. Explore design-for-disassembly principles to improve product repairability, refurbishment, and the efficiency of material recovery at end-of-life, further increasing the recyclability percentage and the net carbon benefit.</w:t>
      </w:r>
    </w:p>
    <w:p>
      <w:pPr>
        <w:numPr>
          <w:ilvl w:val="0"/>
          <w:numId w:val="1018"/>
        </w:numPr>
        <w:pStyle w:val="Compact"/>
      </w:pPr>
      <w:r>
        <w:rPr>
          <w:bCs/>
          <w:b/>
        </w:rPr>
        <w:t xml:space="preserve">Life Cycle Extension:</w:t>
      </w:r>
      <w:r>
        <w:t xml:space="preserve"> </w:t>
      </w:r>
      <w:r>
        <w:t xml:space="preserve">Design for durability and longevity to extend the product\'s lifespan, thereby reducing the need for frequent replacements and amortizing the upfront embodied emissions over a longer period. This aligns with the GHG Protocol\'s potential shift towards an annualized stock-based model which rewards durability.</w:t>
      </w:r>
    </w:p>
    <w:p>
      <w:r>
        <w:pict>
          <v:rect style="width:0;height:1.5pt" o:hralign="center" o:hrstd="t" o:hr="t"/>
        </w:pict>
      </w:r>
    </w:p>
    <w:bookmarkEnd w:id="43"/>
    <w:bookmarkStart w:id="44" w:name="conclusion"/>
    <w:p>
      <w:pPr>
        <w:pStyle w:val="Heading1"/>
      </w:pPr>
      <w:r>
        <w:t xml:space="preserve">5. Conclusion</w:t>
      </w:r>
    </w:p>
    <w:p>
      <w:pPr>
        <w:pStyle w:val="FirstParagraph"/>
      </w:pPr>
      <w:r>
        <w:t xml:space="preserve">This Product Carbon Footprint analysis for</w:t>
      </w:r>
      <w:r>
        <w:t xml:space="preserve"> </w:t>
      </w:r>
      <w:r>
        <w:rPr>
          <w:bCs/>
          <w:b/>
        </w:rPr>
        <w:t xml:space="preserve">wgqpxetzkw</w:t>
      </w:r>
      <w:r>
        <w:t xml:space="preserve"> </w:t>
      </w:r>
      <w:r>
        <w:t xml:space="preserve">provides</w:t>
      </w:r>
      <w:r>
        <w:t xml:space="preserve"> </w:t>
      </w:r>
      <w:r>
        <w:rPr>
          <w:bCs/>
          <w:b/>
        </w:rPr>
        <w:t xml:space="preserve">qyufpffdqr</w:t>
      </w:r>
      <w:r>
        <w:t xml:space="preserve"> </w:t>
      </w:r>
      <w:r>
        <w:t xml:space="preserve">with a crucial understanding of its environmental impact across the product lifecycle, adhering to the rigorous standards of the GHG Protocol. The total PCF of</w:t>
      </w:r>
      <w:r>
        <w:t xml:space="preserve"> </w:t>
      </w:r>
      <w:r>
        <w:rPr>
          <w:bCs/>
          <w:b/>
        </w:rPr>
        <w:t xml:space="preserve">14.15 kg CO2e</w:t>
      </w:r>
      <w:r>
        <w:t xml:space="preserve"> </w:t>
      </w:r>
      <w:r>
        <w:t xml:space="preserve">per unit underscores the significant contribution of raw material acquisition and the use phase. By strategically addressing these hotspots through supply chain collaboration, renewable energy adoption, and circular design principles,</w:t>
      </w:r>
      <w:r>
        <w:t xml:space="preserve"> </w:t>
      </w:r>
      <w:r>
        <w:rPr>
          <w:bCs/>
          <w:b/>
        </w:rPr>
        <w:t xml:space="preserve">qyufpffdqr</w:t>
      </w:r>
      <w:r>
        <w:t xml:space="preserve"> </w:t>
      </w:r>
      <w:r>
        <w:t xml:space="preserve">can effectively reduce its environmental footprint and demonstrate leadership in sustainability, aligning with evolving regulatory expectations and stakeholder demands.</w:t>
      </w:r>
    </w:p>
    <w:p>
      <w:pPr>
        <w:pStyle w:val="BodyText"/>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wgqpxetzkw</dc:title>
  <dc:creator/>
  <dc:description>Detailed Product Carbon Footprint (PCF) analysis report for product wgqpxetzkw, conducted by qxefgklugx for qyufpffdqr, adhering to GHG Protocol standards and 2026 updates.</dc:description>
  <dc:language>en</dc:language>
  <cp:keywords/>
  <dcterms:created xsi:type="dcterms:W3CDTF">2026-07-15T00:48:24Z</dcterms:created>
  <dcterms:modified xsi:type="dcterms:W3CDTF">2026-07-15T00:48:24Z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