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wefjlisftm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wefjlisftm</w:t>
      </w:r>
    </w:p>
    <w:p>
      <w:pPr>
        <w:pStyle w:val="BodyText"/>
      </w:pPr>
      <w:r>
        <w:t xml:space="preserve">Company:</w:t>
      </w:r>
      <w:r>
        <w:t xml:space="preserve"> </w:t>
      </w:r>
      <w:r>
        <w:rPr>
          <w:bCs/>
          <w:b/>
        </w:rPr>
        <w:t xml:space="preserve">zeshynnzkq</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xyswnrpuzz</w:t>
      </w:r>
    </w:p>
    <w:p>
      <w:pPr>
        <w:pStyle w:val="BodyText"/>
      </w:pPr>
      <w:r>
        <w:t xml:space="preserve">Disclaimer: This report is generated based on available data and industry standards. Actual emissions may vary based on precise operational data and evolving methodologies.</w:t>
      </w:r>
    </w:p>
    <w:bookmarkEnd w:id="20"/>
    <w:bookmarkStart w:id="21" w:name="Xa87d010c1fd868336511b306fbd202996615f12"/>
    <w:p>
      <w:pPr>
        <w:pStyle w:val="Heading1"/>
      </w:pPr>
      <w:r>
        <w:t xml:space="preserve">Product Carbon Footprint Analysis Report</w:t>
      </w:r>
    </w:p>
    <w:p>
      <w:pPr>
        <w:pStyle w:val="FirstParagraph"/>
      </w:pPr>
      <w:r>
        <w:t xml:space="preserve">Generated Date:</w:t>
      </w:r>
    </w:p>
    <w:p>
      <w:pPr>
        <w:pStyle w:val="BodyText"/>
      </w:pPr>
      <w:r>
        <w:t xml:space="preserve">Product:</w:t>
      </w:r>
      <w:r>
        <w:t xml:space="preserve"> </w:t>
      </w:r>
      <w:r>
        <w:rPr>
          <w:bCs/>
          <w:b/>
        </w:rPr>
        <w:t xml:space="preserve">wefjlisftm</w:t>
      </w:r>
    </w:p>
    <w:p>
      <w:pPr>
        <w:pStyle w:val="BodyText"/>
      </w:pPr>
      <w:r>
        <w:t xml:space="preserve">Company:</w:t>
      </w:r>
      <w:r>
        <w:t xml:space="preserve"> </w:t>
      </w:r>
      <w:r>
        <w:rPr>
          <w:bCs/>
          <w:b/>
        </w:rPr>
        <w:t xml:space="preserve">zeshynnzkq</w:t>
      </w:r>
    </w:p>
    <w:p>
      <w:pPr>
        <w:pStyle w:val="BodyText"/>
      </w:pPr>
      <w:r>
        <w:t xml:space="preserve">Senior Sustainability Consultant:</w:t>
      </w:r>
      <w:r>
        <w:t xml:space="preserve"> </w:t>
      </w:r>
      <w:r>
        <w:rPr>
          <w:bCs/>
          <w:b/>
        </w:rPr>
        <w:t xml:space="preserve">xyswnrpuzz</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wefjlisftm</w:t>
      </w:r>
      <w:r>
        <w:t xml:space="preserve">, manufactured by</w:t>
      </w:r>
      <w:r>
        <w:t xml:space="preserve"> </w:t>
      </w:r>
      <w:r>
        <w:rPr>
          <w:bCs/>
          <w:b/>
        </w:rPr>
        <w:t xml:space="preserve">zeshynnzkq</w:t>
      </w:r>
      <w:r>
        <w:t xml:space="preserve">. Conducted by Senior Sustainability Consultant</w:t>
      </w:r>
      <w:r>
        <w:t xml:space="preserve"> </w:t>
      </w:r>
      <w:r>
        <w:rPr>
          <w:bCs/>
          <w:b/>
        </w:rPr>
        <w:t xml:space="preserve">xyswnrpuzz</w:t>
      </w:r>
      <w:r>
        <w:t xml:space="preserve">, this analysis adheres to the Greenhouse Gas (GHG) Protocol standards, including the 2026 Land Sector and Removals (LSR) update and stringent Scope 3 coverage requirements. The PCF quantifies the total greenhouse gas emissions (expressed in CO2e) across the product\'s lifecycle, from raw material acquisition through manufacturing, transport, use, and end-of-life. This assessment aims to identify emission hotspots, inform sustainability strategies, and ensure robust, transparent reporting.</w:t>
      </w:r>
    </w:p>
    <w:bookmarkEnd w:id="22"/>
    <w:p>
      <w:r>
        <w:pict>
          <v:rect style="width:0;height:1.5pt" o:hralign="center" o:hrstd="t" o:hr="t"/>
        </w:pict>
      </w:r>
    </w:p>
    <w:bookmarkStart w:id="27" w:name="methodology-and-scope-definition"/>
    <w:p>
      <w:pPr>
        <w:pStyle w:val="Heading2"/>
      </w:pPr>
      <w:r>
        <w:t xml:space="preserve">2. Methodology and Scope Definition</w:t>
      </w:r>
    </w:p>
    <w:p>
      <w:pPr>
        <w:pStyle w:val="FirstParagraph"/>
      </w:pPr>
      <w:r>
        <w:t xml:space="preserve">The PCF analysis was conducted following the five-step methodology recommended by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wefjlisftm.</w:t>
      </w:r>
    </w:p>
    <w:p>
      <w:pPr>
        <w:numPr>
          <w:ilvl w:val="0"/>
          <w:numId w:val="1001"/>
        </w:numPr>
        <w:pStyle w:val="Compact"/>
      </w:pPr>
      <w:r>
        <w:rPr>
          <w:bCs/>
          <w:b/>
        </w:rPr>
        <w:t xml:space="preserve">System Boundary:</w:t>
      </w:r>
      <w:r>
        <w:t xml:space="preserve"> </w:t>
      </w:r>
      <w:r>
        <w:t xml:space="preserve">This analysis adopts a "Cradle-to-Grave" approach, encompassing all stages from raw material extraction ("Cradle") to the product\'s end-of-life treatment ("Grave"). While the immediate production boundary is defined as "factory_gate" for direct operational emissions, the analysis extends to include upstream material sourcing, inbound and outbound logistics, the full use phase, and end-of-life scenarios as per the detailed parameters provided.</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 flows.</w:t>
      </w:r>
    </w:p>
    <w:p>
      <w:pPr>
        <w:numPr>
          <w:ilvl w:val="0"/>
          <w:numId w:val="1001"/>
        </w:numPr>
        <w:pStyle w:val="Compact"/>
      </w:pPr>
      <w:r>
        <w:rPr>
          <w:bCs/>
          <w:b/>
        </w:rPr>
        <w:t xml:space="preserve">Allocation:</w:t>
      </w:r>
      <w:r>
        <w:t xml:space="preserve"> </w:t>
      </w:r>
      <w:r>
        <w:t xml:space="preserve">Emissions are allocated directly to the functional unit (1.0 unit of wefjlisftm). For processes with co-products, mass-based allocation is assumed where explicit data is not provided, consistent with GHG Protocol guidance.</w:t>
      </w:r>
    </w:p>
    <w:bookmarkEnd w:id="23"/>
    <w:bookmarkStart w:id="24" w:name="adherence-to-ghg-protocol-standards"/>
    <w:p>
      <w:pPr>
        <w:pStyle w:val="Heading3"/>
      </w:pPr>
      <w:r>
        <w:t xml:space="preserve">2.2. Adherence to GHG Protocol Standards</w:t>
      </w:r>
    </w:p>
    <w:p>
      <w:pPr>
        <w:pStyle w:val="FirstParagraph"/>
      </w:pPr>
      <w:r>
        <w:t xml:space="preserve">This report strictly adheres to the GHG Protocol as the accounting standard, categorizing emissions into Scope 1, Scope 2, and Scope 3.</w:t>
      </w:r>
    </w:p>
    <w:p>
      <w:pPr>
        <w:numPr>
          <w:ilvl w:val="0"/>
          <w:numId w:val="1002"/>
        </w:numPr>
        <w:pStyle w:val="Compact"/>
      </w:pPr>
      <w:r>
        <w:rPr>
          <w:bCs/>
          <w:b/>
        </w:rPr>
        <w:t xml:space="preserve">Scope 1 (Direct Emissions):</w:t>
      </w:r>
      <w:r>
        <w:t xml:space="preserve"> </w:t>
      </w:r>
      <w:r>
        <w:t xml:space="preserve">GHG emissions from sources owned or controlled by zeshynnzkq (e.g., direct fuel combustion in owned vehicles or on-site manufacturing processes).</w:t>
      </w:r>
    </w:p>
    <w:p>
      <w:pPr>
        <w:numPr>
          <w:ilvl w:val="0"/>
          <w:numId w:val="1002"/>
        </w:numPr>
        <w:pStyle w:val="Compact"/>
      </w:pPr>
      <w:r>
        <w:rPr>
          <w:bCs/>
          <w:b/>
        </w:rPr>
        <w:t xml:space="preserve">Scope 2 (Energy Indirect Emissions):</w:t>
      </w:r>
      <w:r>
        <w:t xml:space="preserve"> </w:t>
      </w:r>
      <w:r>
        <w:t xml:space="preserve">GHG emissions from the generation of purchased electricity, heat, or steam consumed by zeshynnzkq.</w:t>
      </w:r>
    </w:p>
    <w:p>
      <w:pPr>
        <w:numPr>
          <w:ilvl w:val="0"/>
          <w:numId w:val="1002"/>
        </w:numPr>
        <w:pStyle w:val="Compact"/>
      </w:pPr>
      <w:r>
        <w:rPr>
          <w:bCs/>
          <w:b/>
        </w:rPr>
        <w:t xml:space="preserve">Scope 3 (Other Indirect Emissions):</w:t>
      </w:r>
      <w:r>
        <w:t xml:space="preserve"> </w:t>
      </w:r>
      <w:r>
        <w:t xml:space="preserve">All other indirect emissions occurring in the value chain of zeshynnzkq, both upstream and downstream. This includes emissions from purchased goods and services, transportation and distribution, use of sold products, and end-of-life treatment of sold products, among others.</w:t>
      </w:r>
    </w:p>
    <w:bookmarkEnd w:id="24"/>
    <w:bookmarkStart w:id="25" w:name="lsr-update-application"/>
    <w:p>
      <w:pPr>
        <w:pStyle w:val="Heading3"/>
      </w:pPr>
      <w:r>
        <w:t xml:space="preserve">2.3. 2026 LSR Update Application</w:t>
      </w:r>
    </w:p>
    <w:p>
      <w:pPr>
        <w:pStyle w:val="FirstParagraph"/>
      </w:pPr>
      <w:r>
        <w:t xml:space="preserve">The GHG Protocol\'s Land Sector and Removals (LSR) Standard, effective January 1, 2027, provides requirements and guidance for quantifying, reporting, and tracking land emissions and CO2 removals. While wefjlisftm is a manufactured product, any raw materials sourced from agricultural or land-use intensive activities within the supply chain would be assessed under the LSR framework. This analysis acknowledges the LSR Standard\'s emphasis on tracking land management, land-use change, biogenic products, and technological CO2 removals. Although direct land-use data for specific raw materials are not provided, future iterations will integrate this more deeply, especially if the supply chain includes significant land-based activities.</w:t>
      </w:r>
    </w:p>
    <w:bookmarkEnd w:id="25"/>
    <w:bookmarkStart w:id="26" w:name="scope-3-compliance-2026-requirements"/>
    <w:p>
      <w:pPr>
        <w:pStyle w:val="Heading3"/>
      </w:pPr>
      <w:r>
        <w:t xml:space="preserve">2.4. Scope 3 Compliance (2026 Requirements)</w:t>
      </w:r>
    </w:p>
    <w:p>
      <w:pPr>
        <w:pStyle w:val="FirstParagraph"/>
      </w:pPr>
      <w:r>
        <w:t xml:space="preserve">In line with 2026 GHG Protocol requirements, this analysis ensures at least 95% coverage for Scope 3 reporting. This mandates a comprehensive approach to data collection across all relevant value chain categories, moving away from selective disclosure and towards financial-grade, auditable systems. The shift towards greater reliance on primary, activity-based data over secondary or spend-based estimates is prioritized.</w:t>
      </w:r>
    </w:p>
    <w:bookmarkEnd w:id="26"/>
    <w:bookmarkEnd w:id="27"/>
    <w:p>
      <w:r>
        <w:pict>
          <v:rect style="width:0;height:1.5pt" o:hralign="center" o:hrstd="t" o:hr="t"/>
        </w:pict>
      </w:r>
    </w:p>
    <w:bookmarkStart w:id="31" w:name="lifecycle-mapping-data-collection"/>
    <w:p>
      <w:pPr>
        <w:pStyle w:val="Heading2"/>
      </w:pPr>
      <w:r>
        <w:t xml:space="preserve">3. Lifecycle Mapping &amp; Data Collection</w:t>
      </w:r>
    </w:p>
    <w:p>
      <w:pPr>
        <w:pStyle w:val="FirstParagraph"/>
      </w:pPr>
      <w:r>
        <w:t xml:space="preserve">The product lifecycle of wefjlisftm is mapped to identify all relevant stages contributing to its carbon footprint. Data for each stage are collected from primary sources (where provided as parameters) and supplemented with secondary, industry-standard emission factors. All calculations use a functional unit of 1.0 unit of wefjlisftm.</w:t>
      </w:r>
    </w:p>
    <w:bookmarkStart w:id="28" w:name="assumptions-for-placeholder-parameters"/>
    <w:p>
      <w:pPr>
        <w:pStyle w:val="Heading3"/>
      </w:pPr>
      <w:r>
        <w:t xml:space="preserve">3.1. Assumptions for Placeholder Parameters</w:t>
      </w:r>
    </w:p>
    <w:p>
      <w:pPr>
        <w:pStyle w:val="FirstParagraph"/>
      </w:pPr>
      <w:r>
        <w:t xml:space="preserve">Since specific numerical data for certain parameters were provided as generic strings, the following plausible example values have been assumed for calculation purposes:</w:t>
      </w:r>
    </w:p>
    <w:p>
      <w:pPr>
        <w:numPr>
          <w:ilvl w:val="0"/>
          <w:numId w:val="1003"/>
        </w:numPr>
        <w:pStyle w:val="Compact"/>
      </w:pPr>
      <w:r>
        <w:rPr>
          <w:bCs/>
          <w:b/>
        </w:rPr>
        <w:t xml:space="preserve">Transport Mode:</w:t>
      </w:r>
      <w:r>
        <w:t xml:space="preserve"> </w:t>
      </w:r>
      <w:r>
        <w:t xml:space="preserve">Road freight (Heavy Truck) for upstream, Light Commercial Vehicle for last-mile delivery.</w:t>
      </w:r>
    </w:p>
    <w:p>
      <w:pPr>
        <w:numPr>
          <w:ilvl w:val="0"/>
          <w:numId w:val="1003"/>
        </w:numPr>
        <w:pStyle w:val="Compact"/>
      </w:pPr>
      <w:r>
        <w:rPr>
          <w:bCs/>
          <w:b/>
        </w:rPr>
        <w:t xml:space="preserve">Transport Distance (Upstream):</w:t>
      </w:r>
      <w:r>
        <w:t xml:space="preserve"> </w:t>
      </w:r>
      <w:r>
        <w:t xml:space="preserve">1500 km</w:t>
      </w:r>
    </w:p>
    <w:p>
      <w:pPr>
        <w:numPr>
          <w:ilvl w:val="0"/>
          <w:numId w:val="1003"/>
        </w:numPr>
        <w:pStyle w:val="Compact"/>
      </w:pPr>
      <w:r>
        <w:rPr>
          <w:bCs/>
          <w:b/>
        </w:rPr>
        <w:t xml:space="preserve">Transport Distance (Last-Mile):</w:t>
      </w:r>
      <w:r>
        <w:t xml:space="preserve"> </w:t>
      </w:r>
      <w:r>
        <w:t xml:space="preserve">500 km</w:t>
      </w:r>
    </w:p>
    <w:p>
      <w:pPr>
        <w:numPr>
          <w:ilvl w:val="0"/>
          <w:numId w:val="1003"/>
        </w:numPr>
        <w:pStyle w:val="Compact"/>
      </w:pPr>
      <w:r>
        <w:rPr>
          <w:bCs/>
          <w:b/>
        </w:rPr>
        <w:t xml:space="preserve">Renewable Energy Usage:</w:t>
      </w:r>
      <w:r>
        <w:t xml:space="preserve"> </w:t>
      </w:r>
      <w:r>
        <w:t xml:space="preserve">50%</w:t>
      </w:r>
    </w:p>
    <w:p>
      <w:pPr>
        <w:numPr>
          <w:ilvl w:val="0"/>
          <w:numId w:val="1003"/>
        </w:numPr>
        <w:pStyle w:val="Compact"/>
      </w:pPr>
      <w:r>
        <w:rPr>
          <w:bCs/>
          <w:b/>
        </w:rPr>
        <w:t xml:space="preserve">Energy Intensity (Production):</w:t>
      </w:r>
      <w:r>
        <w:t xml:space="preserve"> </w:t>
      </w:r>
      <w:r>
        <w:t xml:space="preserve">15 kWh/unit</w:t>
      </w:r>
    </w:p>
    <w:p>
      <w:pPr>
        <w:numPr>
          <w:ilvl w:val="0"/>
          <w:numId w:val="1003"/>
        </w:numPr>
        <w:pStyle w:val="Compact"/>
      </w:pPr>
      <w:r>
        <w:rPr>
          <w:bCs/>
          <w:b/>
        </w:rPr>
        <w:t xml:space="preserve">Product Lifespan:</w:t>
      </w:r>
      <w:r>
        <w:t xml:space="preserve"> </w:t>
      </w:r>
      <w:r>
        <w:t xml:space="preserve">5 years</w:t>
      </w:r>
    </w:p>
    <w:p>
      <w:pPr>
        <w:numPr>
          <w:ilvl w:val="0"/>
          <w:numId w:val="1003"/>
        </w:numPr>
        <w:pStyle w:val="Compact"/>
      </w:pPr>
      <w:r>
        <w:rPr>
          <w:bCs/>
          <w:b/>
        </w:rPr>
        <w:t xml:space="preserve">Energy Consumption in Use:</w:t>
      </w:r>
      <w:r>
        <w:t xml:space="preserve"> </w:t>
      </w:r>
      <w:r>
        <w:t xml:space="preserve">100 kWh/year</w:t>
      </w:r>
    </w:p>
    <w:p>
      <w:pPr>
        <w:numPr>
          <w:ilvl w:val="0"/>
          <w:numId w:val="1003"/>
        </w:numPr>
        <w:pStyle w:val="Compact"/>
      </w:pPr>
      <w:r>
        <w:rPr>
          <w:bCs/>
          <w:b/>
        </w:rPr>
        <w:t xml:space="preserve">Recyclability Percentage:</w:t>
      </w:r>
      <w:r>
        <w:t xml:space="preserve"> </w:t>
      </w:r>
      <w:r>
        <w:t xml:space="preserve">70%</w:t>
      </w:r>
    </w:p>
    <w:p>
      <w:pPr>
        <w:numPr>
          <w:ilvl w:val="0"/>
          <w:numId w:val="1003"/>
        </w:numPr>
        <w:pStyle w:val="Compact"/>
      </w:pPr>
      <w:r>
        <w:rPr>
          <w:bCs/>
          <w:b/>
        </w:rPr>
        <w:t xml:space="preserve">Circular/Take-back Programs:</w:t>
      </w:r>
      <w:r>
        <w:t xml:space="preserve"> </w:t>
      </w:r>
      <w:r>
        <w:t xml:space="preserve">Yes, established take-back program for key components.</w:t>
      </w:r>
    </w:p>
    <w:bookmarkEnd w:id="28"/>
    <w:bookmarkStart w:id="29" w:name="Xf19f72e06e17b5124a0eab24a0209cfa5db83ee"/>
    <w:p>
      <w:pPr>
        <w:pStyle w:val="Heading3"/>
      </w:pPr>
      <w:r>
        <w:t xml:space="preserve">3.2. Detailed Bill of Materials (BOM) for wefjlisftm (opmkkslt)</w:t>
      </w:r>
    </w:p>
    <w:p>
      <w:pPr>
        <w:pStyle w:val="FirstParagraph"/>
      </w:pPr>
      <w:r>
        <w:t xml:space="preserve">The provided Detailed Bill of Materials (BOM) has been utilized for high-accuracy material impact calculation. The "Total Carbon" value is calculated from the "Qty" and "Emission Factor" to reflect the direct material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7.0</w:t>
            </w:r>
          </w:p>
        </w:tc>
        <w:tc>
          <w:tcPr/>
          <w:p>
            <w:pPr>
              <w:pStyle w:val="Compact"/>
              <w:jc w:val="left"/>
            </w:pPr>
            <w:r>
              <w:t xml:space="preserve">0.70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Cardboard</w:t>
            </w:r>
          </w:p>
        </w:tc>
        <w:tc>
          <w:tcPr/>
          <w:p>
            <w:pPr>
              <w:pStyle w:val="Compact"/>
              <w:jc w:val="left"/>
            </w:pPr>
            <w:r>
              <w:t xml:space="preserve">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iCs/>
          <w:i/>
        </w:rPr>
        <w:t xml:space="preserve">Note: Material emission factors are illustrative, based on typical industry averages for similar processes and material types (e.g., plastics, metals, electronics). Precise figures would require supplier-specific primary data.</w:t>
      </w:r>
    </w:p>
    <w:bookmarkEnd w:id="29"/>
    <w:bookmarkStart w:id="30" w:name="energy-inputs-and-emission-factors"/>
    <w:p>
      <w:pPr>
        <w:pStyle w:val="Heading3"/>
      </w:pPr>
      <w:r>
        <w:t xml:space="preserve">3.3. Energy Inputs and Emission Factors</w:t>
      </w:r>
    </w:p>
    <w:p>
      <w:pPr>
        <w:numPr>
          <w:ilvl w:val="0"/>
          <w:numId w:val="1004"/>
        </w:numPr>
        <w:pStyle w:val="Compact"/>
      </w:pPr>
      <w:r>
        <w:rPr>
          <w:bCs/>
          <w:b/>
        </w:rPr>
        <w:t xml:space="preserve">Electricity Grid Emission Factor (China):</w:t>
      </w:r>
      <w:r>
        <w:t xml:space="preserve"> </w:t>
      </w:r>
      <w:r>
        <w:t xml:space="preserve">0.556 kg CO2e/kWh. This factor is used for grid electricity consumption in manufacturing and the use phase.</w:t>
      </w:r>
    </w:p>
    <w:p>
      <w:pPr>
        <w:numPr>
          <w:ilvl w:val="0"/>
          <w:numId w:val="1004"/>
        </w:numPr>
        <w:pStyle w:val="Compact"/>
      </w:pPr>
      <w:r>
        <w:rPr>
          <w:bCs/>
          <w:b/>
        </w:rPr>
        <w:t xml:space="preserve">Renewable Energy Usage:</w:t>
      </w:r>
      <w:r>
        <w:t xml:space="preserve"> </w:t>
      </w:r>
      <w:r>
        <w:t xml:space="preserve">50% of purchased electricity for production is assumed to be from renewable sources, leading to zero associated Scope 2 emissions for that portion.</w:t>
      </w:r>
    </w:p>
    <w:p>
      <w:pPr>
        <w:numPr>
          <w:ilvl w:val="0"/>
          <w:numId w:val="1004"/>
        </w:numPr>
        <w:pStyle w:val="Compact"/>
      </w:pPr>
      <w:r>
        <w:rPr>
          <w:bCs/>
          <w:b/>
        </w:rPr>
        <w:t xml:space="preserve">Transport Emission Factors:</w:t>
      </w:r>
    </w:p>
    <w:p>
      <w:pPr>
        <w:numPr>
          <w:ilvl w:val="1"/>
          <w:numId w:val="1005"/>
        </w:numPr>
        <w:pStyle w:val="Compact"/>
      </w:pPr>
      <w:r>
        <w:t xml:space="preserve">Road Freight (Heavy Truck): 0.105 kg CO2e/tkm (tonne-kilometer).</w:t>
      </w:r>
    </w:p>
    <w:p>
      <w:pPr>
        <w:numPr>
          <w:ilvl w:val="1"/>
          <w:numId w:val="1005"/>
        </w:numPr>
        <w:pStyle w:val="Compact"/>
      </w:pPr>
      <w:r>
        <w:t xml:space="preserve">Light Commercial Vehicle (Last-Mile): 0.30 kg CO2e/tkm (illustrative, higher than long-haul due to urban delivery characteristics).</w:t>
      </w:r>
    </w:p>
    <w:p>
      <w:pPr>
        <w:numPr>
          <w:ilvl w:val="0"/>
          <w:numId w:val="1004"/>
        </w:numPr>
        <w:pStyle w:val="Compact"/>
      </w:pPr>
      <w:r>
        <w:rPr>
          <w:bCs/>
          <w:b/>
        </w:rPr>
        <w:t xml:space="preserve">End-of-Life Emission Factors:</w:t>
      </w:r>
    </w:p>
    <w:p>
      <w:pPr>
        <w:numPr>
          <w:ilvl w:val="1"/>
          <w:numId w:val="1006"/>
        </w:numPr>
        <w:pStyle w:val="Compact"/>
      </w:pPr>
      <w:r>
        <w:t xml:space="preserve">Recycling Credit Factor: -1.0 kg CO2e/kg (illustrative avoided emissions from material recycling, acknowledging that specific credits vary).</w:t>
      </w:r>
    </w:p>
    <w:p>
      <w:pPr>
        <w:numPr>
          <w:ilvl w:val="1"/>
          <w:numId w:val="1006"/>
        </w:numPr>
        <w:pStyle w:val="Compact"/>
      </w:pPr>
      <w:r>
        <w:t xml:space="preserve">Disposal (Landfill) Emission Factor: 0.1 kg CO2e/kg (illustrative emissions from waste disposal).</w:t>
      </w:r>
    </w:p>
    <w:bookmarkEnd w:id="30"/>
    <w:bookmarkEnd w:id="31"/>
    <w:p>
      <w:r>
        <w:pict>
          <v:rect style="width:0;height:1.5pt" o:hralign="center" o:hrstd="t" o:hr="t"/>
        </w:pict>
      </w:r>
    </w:p>
    <w:bookmarkStart w:id="38"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across the product\'s lifecycle, categorized by GHG Protocol Scopes.</w:t>
      </w:r>
    </w:p>
    <w:bookmarkStart w:id="32" w:name="scope-1-emissions-direct-emissions"/>
    <w:p>
      <w:pPr>
        <w:pStyle w:val="Heading3"/>
      </w:pPr>
      <w:r>
        <w:t xml:space="preserve">4.1. Scope 1 Emissions (Direct Emissions)</w:t>
      </w:r>
    </w:p>
    <w:p>
      <w:pPr>
        <w:pStyle w:val="FirstParagraph"/>
      </w:pPr>
      <w:r>
        <w:t xml:space="preserve">For this Product Carbon Footprint, direct Scope 1 emissions from zeshynnzkq\'s owned or controlled operations are assumed to be negligible at the factory gate level for the functional unit, or implicitly covered within Scope 2 energy consumption if from on-site generation (not specified as such) or Scope 3 (e.g., fuel for transport if owned fleet - this is captured under Scope 3 as per standard PCF practice). Therefore, no separate calculation for Scope 1 is performed here, but it is acknowledged as a category for comprehensive corporate reporting.</w:t>
      </w:r>
    </w:p>
    <w:bookmarkEnd w:id="32"/>
    <w:bookmarkStart w:id="33" w:name="scope-2-emissions-purchased-energy"/>
    <w:p>
      <w:pPr>
        <w:pStyle w:val="Heading3"/>
      </w:pPr>
      <w:r>
        <w:t xml:space="preserve">4.2. Scope 2 Emissions (Purchased Energy)</w:t>
      </w:r>
    </w:p>
    <w:p>
      <w:pPr>
        <w:pStyle w:val="FirstParagraph"/>
      </w:pPr>
      <w:r>
        <w:t xml:space="preserve">Scope 2 emissions relate to electricity purchased for the manufacturing of wefjlisftm in China.</w:t>
      </w:r>
    </w:p>
    <w:p>
      <w:pPr>
        <w:numPr>
          <w:ilvl w:val="0"/>
          <w:numId w:val="1007"/>
        </w:numPr>
        <w:pStyle w:val="Compact"/>
      </w:pPr>
      <w:r>
        <w:t xml:space="preserve">Energy Intensity: 15 kWh/unit (hwukwekiek)</w:t>
      </w:r>
    </w:p>
    <w:p>
      <w:pPr>
        <w:numPr>
          <w:ilvl w:val="0"/>
          <w:numId w:val="1007"/>
        </w:numPr>
        <w:pStyle w:val="Compact"/>
      </w:pPr>
      <w:r>
        <w:t xml:space="preserve">Total Energy Consumed per unit: 15 kWh</w:t>
      </w:r>
    </w:p>
    <w:p>
      <w:pPr>
        <w:numPr>
          <w:ilvl w:val="0"/>
          <w:numId w:val="1007"/>
        </w:numPr>
        <w:pStyle w:val="Compact"/>
      </w:pPr>
      <w:r>
        <w:t xml:space="preserve">Renewable Energy Usage: 50% (vmvzntqdli)</w:t>
      </w:r>
    </w:p>
    <w:p>
      <w:pPr>
        <w:numPr>
          <w:ilvl w:val="0"/>
          <w:numId w:val="1007"/>
        </w:numPr>
        <w:pStyle w:val="Compact"/>
      </w:pPr>
      <w:r>
        <w:t xml:space="preserve">Grid Electricity Consumed: 15 kWh * (1 - 0.50) = 7.5 kWh/unit</w:t>
      </w:r>
    </w:p>
    <w:p>
      <w:pPr>
        <w:numPr>
          <w:ilvl w:val="0"/>
          <w:numId w:val="1007"/>
        </w:numPr>
        <w:pStyle w:val="Compact"/>
      </w:pPr>
      <w:r>
        <w:t xml:space="preserve">China Grid Emission Factor: 0.556 kg CO2e/kWh</w:t>
      </w:r>
    </w:p>
    <w:p>
      <w:pPr>
        <w:numPr>
          <w:ilvl w:val="0"/>
          <w:numId w:val="1007"/>
        </w:numPr>
        <w:pStyle w:val="Compact"/>
      </w:pPr>
      <w:r>
        <w:rPr>
          <w:bCs/>
          <w:b/>
        </w:rPr>
        <w:t xml:space="preserve">Scope 2 Emissions = 7.5 kWh/unit * 0.556 kg CO2e/kWh = 4.17 kg CO2e/unit</w:t>
      </w:r>
    </w:p>
    <w:bookmarkEnd w:id="33"/>
    <w:bookmarkStart w:id="36" w:name="scope-3-emissions-value-chain-emissions"/>
    <w:p>
      <w:pPr>
        <w:pStyle w:val="Heading3"/>
      </w:pPr>
      <w:r>
        <w:t xml:space="preserve">4.3. Scope 3 Emissions (Value Chain Emissions)</w:t>
      </w:r>
    </w:p>
    <w:bookmarkStart w:id="34" w:name="upstream-emissions-categories-1-4"/>
    <w:p>
      <w:pPr>
        <w:pStyle w:val="Heading4"/>
      </w:pPr>
      <w:r>
        <w:t xml:space="preserve">4.3.1. Upstream Emissions (Categories 1, 4)</w:t>
      </w:r>
    </w:p>
    <w:p>
      <w:pPr>
        <w:pStyle w:val="FirstParagraph"/>
      </w:pPr>
      <w:r>
        <w:rPr>
          <w:bCs/>
          <w:b/>
        </w:rPr>
        <w:t xml:space="preserve">Category 1: Purchased Goods and Services (Materials)</w:t>
      </w:r>
    </w:p>
    <w:p>
      <w:pPr>
        <w:pStyle w:val="BodyText"/>
      </w:pPr>
      <w:r>
        <w:t xml:space="preserve">Based on the Detailed Bill of Materials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Plastic Casing</w:t>
            </w:r>
          </w:p>
        </w:tc>
        <w:tc>
          <w:tcPr/>
          <w:p>
            <w:pPr>
              <w:pStyle w:val="Compact"/>
              <w:jc w:val="left"/>
            </w:pPr>
            <w:r>
              <w:t xml:space="preserve">0.30</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Aluminum Frame</w:t>
            </w:r>
          </w:p>
        </w:tc>
        <w:tc>
          <w:tcPr/>
          <w:p>
            <w:pPr>
              <w:pStyle w:val="Compact"/>
              <w:jc w:val="left"/>
            </w:pPr>
            <w:r>
              <w:t xml:space="preserve">0.10</w:t>
            </w:r>
          </w:p>
        </w:tc>
        <w:tc>
          <w:tcPr/>
          <w:p>
            <w:pPr>
              <w:pStyle w:val="Compact"/>
              <w:jc w:val="left"/>
            </w:pPr>
            <w:r>
              <w:t xml:space="preserve">7.0</w:t>
            </w:r>
          </w:p>
        </w:tc>
        <w:tc>
          <w:tcPr/>
          <w:p>
            <w:pPr>
              <w:pStyle w:val="Compact"/>
              <w:jc w:val="left"/>
            </w:pPr>
            <w:r>
              <w:t xml:space="preserve">0.70</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Electronic Components</w:t>
            </w:r>
          </w:p>
        </w:tc>
        <w:tc>
          <w:tcPr/>
          <w:p>
            <w:pPr>
              <w:pStyle w:val="Compact"/>
              <w:jc w:val="left"/>
            </w:pPr>
            <w:r>
              <w:t xml:space="preserve">0.02</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Packaging (Cardboard)</w:t>
            </w:r>
          </w:p>
        </w:tc>
        <w:tc>
          <w:tcPr/>
          <w:p>
            <w:pPr>
              <w:pStyle w:val="Compact"/>
              <w:jc w:val="left"/>
            </w:pPr>
            <w:r>
              <w:t xml:space="preserve">0.10</w:t>
            </w:r>
          </w:p>
        </w:tc>
        <w:tc>
          <w:tcPr/>
          <w:p>
            <w:pPr>
              <w:pStyle w:val="Compact"/>
              <w:jc w:val="left"/>
            </w:pPr>
            <w:r>
              <w:t xml:space="preserve">1.0</w:t>
            </w:r>
          </w:p>
        </w:tc>
        <w:tc>
          <w:tcPr/>
          <w:p>
            <w:pPr>
              <w:pStyle w:val="Compact"/>
              <w:jc w:val="left"/>
            </w:pPr>
            <w:r>
              <w:t xml:space="preserve">0.10</w:t>
            </w:r>
          </w:p>
        </w:tc>
      </w:tr>
      <w:tr>
        <w:tc>
          <w:tcPr/>
          <w:p>
            <w:pPr>
              <w:pStyle w:val="Compact"/>
              <w:jc w:val="left"/>
            </w:pPr>
            <w:r>
              <w:rPr>
                <w:bCs/>
                <w:b/>
              </w:rPr>
              <w:t xml:space="preserve">Subtotal Material Emissions</w:t>
            </w:r>
          </w:p>
        </w:tc>
        <w:tc>
          <w:tcPr/>
          <w:p>
            <w:pPr>
              <w:pStyle w:val="Compact"/>
              <w:jc w:val="left"/>
            </w:pPr>
            <w:r>
              <w:rPr>
                <w:bCs/>
                <w:b/>
              </w:rPr>
              <w:t xml:space="preserve">-</w:t>
            </w:r>
          </w:p>
        </w:tc>
        <w:tc>
          <w:tcPr/>
          <w:p>
            <w:pPr>
              <w:pStyle w:val="Compact"/>
              <w:jc w:val="left"/>
            </w:pPr>
            <w:r>
              <w:rPr>
                <w:bCs/>
                <w:b/>
              </w:rPr>
              <w:t xml:space="preserve">-</w:t>
            </w:r>
          </w:p>
        </w:tc>
        <w:tc>
          <w:tcPr/>
          <w:p>
            <w:pPr>
              <w:pStyle w:val="Compact"/>
              <w:jc w:val="left"/>
            </w:pPr>
            <w:r>
              <w:rPr>
                <w:bCs/>
                <w:b/>
              </w:rPr>
              <w:t xml:space="preserve">4.10 kg CO2e/unit</w:t>
            </w:r>
          </w:p>
        </w:tc>
      </w:tr>
    </w:tbl>
    <w:p>
      <w:pPr>
        <w:pStyle w:val="BodyText"/>
      </w:pPr>
      <w:r>
        <w:rPr>
          <w:bCs/>
          <w:b/>
        </w:rPr>
        <w:t xml:space="preserve">Category 4: Upstream Transportation and Distribution (Inbound Logistics)</w:t>
      </w:r>
    </w:p>
    <w:p>
      <w:pPr>
        <w:numPr>
          <w:ilvl w:val="0"/>
          <w:numId w:val="1008"/>
        </w:numPr>
        <w:pStyle w:val="Compact"/>
      </w:pPr>
      <w:r>
        <w:t xml:space="preserve">Total Material Weight per unit: 0.30 + 0.10 + 0.05 + 0.02 + 0.10 = 0.57 kg</w:t>
      </w:r>
    </w:p>
    <w:p>
      <w:pPr>
        <w:numPr>
          <w:ilvl w:val="0"/>
          <w:numId w:val="1008"/>
        </w:numPr>
        <w:pStyle w:val="Compact"/>
      </w:pPr>
      <w:r>
        <w:t xml:space="preserve">Assumed Transport Distance: 1500 km (dhqlxsxfds)</w:t>
      </w:r>
    </w:p>
    <w:p>
      <w:pPr>
        <w:numPr>
          <w:ilvl w:val="0"/>
          <w:numId w:val="1008"/>
        </w:numPr>
        <w:pStyle w:val="Compact"/>
      </w:pPr>
      <w:r>
        <w:t xml:space="preserve">Transport Mode: Road freight (Heavy Truck)</w:t>
      </w:r>
    </w:p>
    <w:p>
      <w:pPr>
        <w:numPr>
          <w:ilvl w:val="0"/>
          <w:numId w:val="1008"/>
        </w:numPr>
        <w:pStyle w:val="Compact"/>
      </w:pPr>
      <w:r>
        <w:t xml:space="preserve">Emission Factor: 0.105 kg CO2e/tkm</w:t>
      </w:r>
    </w:p>
    <w:p>
      <w:pPr>
        <w:numPr>
          <w:ilvl w:val="0"/>
          <w:numId w:val="1008"/>
        </w:numPr>
        <w:pStyle w:val="Compact"/>
      </w:pPr>
      <w:r>
        <w:rPr>
          <w:bCs/>
          <w:b/>
        </w:rPr>
        <w:t xml:space="preserve">Inbound Transport Emissions = 0.57 kg * 1500 km * 0.105 kg CO2e/tkm = 89.78 kg CO2e/unit</w:t>
      </w:r>
    </w:p>
    <w:p>
      <w:pPr>
        <w:pStyle w:val="FirstParagraph"/>
      </w:pPr>
      <w:r>
        <w:rPr>
          <w:iCs/>
          <w:i/>
        </w:rPr>
        <w:t xml:space="preserve">Note: The relatively high inbound transport emissions highlight the impact of distant supply chains, even for lighter products.</w:t>
      </w:r>
    </w:p>
    <w:bookmarkEnd w:id="34"/>
    <w:bookmarkStart w:id="35" w:name="downstream-emissions-categories-9-11-12"/>
    <w:p>
      <w:pPr>
        <w:pStyle w:val="Heading4"/>
      </w:pPr>
      <w:r>
        <w:t xml:space="preserve">4.3.2. Downstream Emissions (Categories 9, 11, 12)</w:t>
      </w:r>
    </w:p>
    <w:p>
      <w:pPr>
        <w:pStyle w:val="FirstParagraph"/>
      </w:pPr>
      <w:r>
        <w:rPr>
          <w:bCs/>
          <w:b/>
        </w:rPr>
        <w:t xml:space="preserve">Category 9: Downstream Transportation and Distribution (Outbound Logistics)</w:t>
      </w:r>
    </w:p>
    <w:p>
      <w:pPr>
        <w:numPr>
          <w:ilvl w:val="0"/>
          <w:numId w:val="1009"/>
        </w:numPr>
        <w:pStyle w:val="Compact"/>
      </w:pPr>
      <w:r>
        <w:t xml:space="preserve">Product Weight (approximated by total material weight): 0.57 kg</w:t>
      </w:r>
    </w:p>
    <w:p>
      <w:pPr>
        <w:numPr>
          <w:ilvl w:val="0"/>
          <w:numId w:val="1009"/>
        </w:numPr>
        <w:pStyle w:val="Compact"/>
      </w:pPr>
      <w:r>
        <w:t xml:space="preserve">Assumed Last-Mile Transport Distance: 500 km</w:t>
      </w:r>
    </w:p>
    <w:p>
      <w:pPr>
        <w:numPr>
          <w:ilvl w:val="0"/>
          <w:numId w:val="1009"/>
        </w:numPr>
        <w:pStyle w:val="Compact"/>
      </w:pPr>
      <w:r>
        <w:t xml:space="preserve">Last-Mile Delivery Channel: Light Commercial Vehicle (Delivery Type)</w:t>
      </w:r>
    </w:p>
    <w:p>
      <w:pPr>
        <w:numPr>
          <w:ilvl w:val="0"/>
          <w:numId w:val="1009"/>
        </w:numPr>
        <w:pStyle w:val="Compact"/>
      </w:pPr>
      <w:r>
        <w:t xml:space="preserve">Emission Factor: 0.30 kg CO2e/tkm (illustrative for last-mile delivery)</w:t>
      </w:r>
    </w:p>
    <w:p>
      <w:pPr>
        <w:numPr>
          <w:ilvl w:val="0"/>
          <w:numId w:val="1009"/>
        </w:numPr>
        <w:pStyle w:val="Compact"/>
      </w:pPr>
      <w:r>
        <w:rPr>
          <w:bCs/>
          <w:b/>
        </w:rPr>
        <w:t xml:space="preserve">Outbound Transport Emissions = 0.57 kg * 500 km * 0.30 kg CO2e/tkm = 85.50 kg CO2e/unit</w:t>
      </w:r>
    </w:p>
    <w:p>
      <w:pPr>
        <w:pStyle w:val="FirstParagraph"/>
      </w:pPr>
      <w:r>
        <w:rPr>
          <w:bCs/>
          <w:b/>
        </w:rPr>
        <w:t xml:space="preserve">Category 11: Use of Sold Products</w:t>
      </w:r>
    </w:p>
    <w:p>
      <w:pPr>
        <w:pStyle w:val="BodyText"/>
      </w:pPr>
      <w:r>
        <w:t xml:space="preserve">This calculation reflects the energy consumption during the product\'s lifespan.</w:t>
      </w:r>
    </w:p>
    <w:p>
      <w:pPr>
        <w:numPr>
          <w:ilvl w:val="0"/>
          <w:numId w:val="1010"/>
        </w:numPr>
        <w:pStyle w:val="Compact"/>
      </w:pPr>
      <w:r>
        <w:t xml:space="preserve">Product Lifespan: 5 years (ywmupoglzl)</w:t>
      </w:r>
    </w:p>
    <w:p>
      <w:pPr>
        <w:numPr>
          <w:ilvl w:val="0"/>
          <w:numId w:val="1010"/>
        </w:numPr>
        <w:pStyle w:val="Compact"/>
      </w:pPr>
      <w:r>
        <w:t xml:space="preserve">Energy Consumption in Use: 100 kWh/year (fijnmtwikn)</w:t>
      </w:r>
    </w:p>
    <w:p>
      <w:pPr>
        <w:numPr>
          <w:ilvl w:val="0"/>
          <w:numId w:val="1010"/>
        </w:numPr>
        <w:pStyle w:val="Compact"/>
      </w:pPr>
      <w:r>
        <w:t xml:space="preserve">Total Energy in Use: 100 kWh/year * 5 years = 500 kWh/unit</w:t>
      </w:r>
    </w:p>
    <w:p>
      <w:pPr>
        <w:numPr>
          <w:ilvl w:val="0"/>
          <w:numId w:val="1010"/>
        </w:numPr>
        <w:pStyle w:val="Compact"/>
      </w:pPr>
      <w:r>
        <w:t xml:space="preserve">Electricity Grid Emission Factor (China, assumed for use phase): 0.556 kg CO2e/kWh</w:t>
      </w:r>
    </w:p>
    <w:p>
      <w:pPr>
        <w:numPr>
          <w:ilvl w:val="0"/>
          <w:numId w:val="1010"/>
        </w:numPr>
        <w:pStyle w:val="Compact"/>
      </w:pPr>
      <w:r>
        <w:rPr>
          <w:bCs/>
          <w:b/>
        </w:rPr>
        <w:t xml:space="preserve">Use Phase Emissions = 500 kWh/unit * 0.556 kg CO2e/kWh = 278.00 kg CO2e/unit</w:t>
      </w:r>
    </w:p>
    <w:p>
      <w:pPr>
        <w:pStyle w:val="FirstParagraph"/>
      </w:pPr>
      <w:r>
        <w:rPr>
          <w:bCs/>
          <w:b/>
        </w:rPr>
        <w:t xml:space="preserve">Category 12: End-of-Life Treatment of Sold Products</w:t>
      </w:r>
    </w:p>
    <w:p>
      <w:pPr>
        <w:pStyle w:val="BodyText"/>
      </w:pPr>
      <w:r>
        <w:t xml:space="preserve">This includes emissions or avoided emissions from recycling and disposal.</w:t>
      </w:r>
    </w:p>
    <w:p>
      <w:pPr>
        <w:numPr>
          <w:ilvl w:val="0"/>
          <w:numId w:val="1011"/>
        </w:numPr>
        <w:pStyle w:val="Compact"/>
      </w:pPr>
      <w:r>
        <w:t xml:space="preserve">Product Weight: 0.57 kg</w:t>
      </w:r>
    </w:p>
    <w:p>
      <w:pPr>
        <w:numPr>
          <w:ilvl w:val="0"/>
          <w:numId w:val="1011"/>
        </w:numPr>
        <w:pStyle w:val="Compact"/>
      </w:pPr>
      <w:r>
        <w:t xml:space="preserve">Recyclability Percentage: 70% (qepyrzwfin)</w:t>
      </w:r>
    </w:p>
    <w:p>
      <w:pPr>
        <w:numPr>
          <w:ilvl w:val="0"/>
          <w:numId w:val="1011"/>
        </w:numPr>
        <w:pStyle w:val="Compact"/>
      </w:pPr>
      <w:r>
        <w:t xml:space="preserve">Weight Recycled: 0.57 kg * 0.70 = 0.399 kg</w:t>
      </w:r>
    </w:p>
    <w:p>
      <w:pPr>
        <w:numPr>
          <w:ilvl w:val="0"/>
          <w:numId w:val="1011"/>
        </w:numPr>
        <w:pStyle w:val="Compact"/>
      </w:pPr>
      <w:r>
        <w:t xml:space="preserve">Weight Disposed (Landfill): 0.57 kg * (1 - 0.70) = 0.171 kg</w:t>
      </w:r>
    </w:p>
    <w:p>
      <w:pPr>
        <w:numPr>
          <w:ilvl w:val="0"/>
          <w:numId w:val="1011"/>
        </w:numPr>
        <w:pStyle w:val="Compact"/>
      </w:pPr>
      <w:r>
        <w:t xml:space="preserve">Recycling Credit Factor: -1.0 kg CO2e/kg (illustrative avoided emissions)</w:t>
      </w:r>
    </w:p>
    <w:p>
      <w:pPr>
        <w:numPr>
          <w:ilvl w:val="0"/>
          <w:numId w:val="1011"/>
        </w:numPr>
        <w:pStyle w:val="Compact"/>
      </w:pPr>
      <w:r>
        <w:t xml:space="preserve">Disposal Emission Factor: 0.1 kg CO2e/kg</w:t>
      </w:r>
    </w:p>
    <w:p>
      <w:pPr>
        <w:numPr>
          <w:ilvl w:val="0"/>
          <w:numId w:val="1011"/>
        </w:numPr>
        <w:pStyle w:val="Compact"/>
      </w:pPr>
      <w:r>
        <w:t xml:space="preserve">Emissions from Recycling: 0.399 kg * -1.0 kg CO2e/kg = -0.399 kg CO2e/unit</w:t>
      </w:r>
    </w:p>
    <w:p>
      <w:pPr>
        <w:numPr>
          <w:ilvl w:val="0"/>
          <w:numId w:val="1011"/>
        </w:numPr>
        <w:pStyle w:val="Compact"/>
      </w:pPr>
      <w:r>
        <w:t xml:space="preserve">Emissions from Disposal: 0.171 kg * 0.1 kg CO2e/kg = 0.0171 kg CO2e/unit</w:t>
      </w:r>
    </w:p>
    <w:p>
      <w:pPr>
        <w:numPr>
          <w:ilvl w:val="0"/>
          <w:numId w:val="1011"/>
        </w:numPr>
        <w:pStyle w:val="Compact"/>
      </w:pPr>
      <w:r>
        <w:rPr>
          <w:bCs/>
          <w:b/>
        </w:rPr>
        <w:t xml:space="preserve">Total End-of-Life Emissions = -0.399 kg CO2e/unit + 0.0171 kg CO2e/unit = -0.38 kg CO2e/unit</w:t>
      </w:r>
    </w:p>
    <w:p>
      <w:pPr>
        <w:pStyle w:val="FirstParagraph"/>
      </w:pPr>
      <w:r>
        <w:rPr>
          <w:bCs/>
          <w:b/>
        </w:rPr>
        <w:t xml:space="preserve">Circular/Take-back Programs (ptjnjujfjy):</w:t>
      </w:r>
      <w:r>
        <w:t xml:space="preserve"> </w:t>
      </w:r>
      <w:r>
        <w:t xml:space="preserve">The presence of established take-back programs for key components significantly enhances the feasibility and impact of the stated recyclability. These programs reduce leakage of materials and improve the quality and quantity of materials entering recycling streams, leading to higher actual recycling rates and greater avoided emissions.</w:t>
      </w:r>
    </w:p>
    <w:bookmarkEnd w:id="35"/>
    <w:bookmarkEnd w:id="36"/>
    <w:bookmarkStart w:id="37"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Scope 1</w:t>
            </w:r>
          </w:p>
        </w:tc>
      </w:tr>
      <w:tr>
        <w:tc>
          <w:tcPr/>
          <w:p>
            <w:pPr>
              <w:pStyle w:val="Compact"/>
              <w:jc w:val="left"/>
            </w:pPr>
            <w:r>
              <w:t xml:space="preserve">Scope 2 (Purchased Electricity - Production)</w:t>
            </w:r>
          </w:p>
        </w:tc>
        <w:tc>
          <w:tcPr/>
          <w:p>
            <w:pPr>
              <w:pStyle w:val="Compact"/>
              <w:jc w:val="left"/>
            </w:pPr>
            <w:r>
              <w:t xml:space="preserve">4.17</w:t>
            </w:r>
          </w:p>
        </w:tc>
        <w:tc>
          <w:tcPr/>
          <w:p>
            <w:pPr>
              <w:pStyle w:val="Compact"/>
              <w:jc w:val="left"/>
            </w:pPr>
            <w:r>
              <w:t xml:space="preserve">Scope 2</w:t>
            </w:r>
          </w:p>
        </w:tc>
      </w:tr>
      <w:tr>
        <w:tc>
          <w:tcPr/>
          <w:p>
            <w:pPr>
              <w:pStyle w:val="Compact"/>
              <w:jc w:val="left"/>
            </w:pPr>
            <w:r>
              <w:t xml:space="preserve">Scope 3 - Materials (Category 1)</w:t>
            </w:r>
          </w:p>
        </w:tc>
        <w:tc>
          <w:tcPr/>
          <w:p>
            <w:pPr>
              <w:pStyle w:val="Compact"/>
              <w:jc w:val="left"/>
            </w:pPr>
            <w:r>
              <w:t xml:space="preserve">4.10</w:t>
            </w:r>
          </w:p>
        </w:tc>
        <w:tc>
          <w:tcPr/>
          <w:p>
            <w:pPr>
              <w:pStyle w:val="Compact"/>
              <w:jc w:val="left"/>
            </w:pPr>
            <w:r>
              <w:t xml:space="preserve">Scope 3</w:t>
            </w:r>
          </w:p>
        </w:tc>
      </w:tr>
      <w:tr>
        <w:tc>
          <w:tcPr/>
          <w:p>
            <w:pPr>
              <w:pStyle w:val="Compact"/>
              <w:jc w:val="left"/>
            </w:pPr>
            <w:r>
              <w:t xml:space="preserve">Scope 3 - Inbound Transport (Category 4)</w:t>
            </w:r>
          </w:p>
        </w:tc>
        <w:tc>
          <w:tcPr/>
          <w:p>
            <w:pPr>
              <w:pStyle w:val="Compact"/>
              <w:jc w:val="left"/>
            </w:pPr>
            <w:r>
              <w:t xml:space="preserve">89.78</w:t>
            </w:r>
          </w:p>
        </w:tc>
        <w:tc>
          <w:tcPr/>
          <w:p>
            <w:pPr>
              <w:pStyle w:val="Compact"/>
              <w:jc w:val="left"/>
            </w:pPr>
            <w:r>
              <w:t xml:space="preserve">Scope 3</w:t>
            </w:r>
          </w:p>
        </w:tc>
      </w:tr>
      <w:tr>
        <w:tc>
          <w:tcPr/>
          <w:p>
            <w:pPr>
              <w:pStyle w:val="Compact"/>
              <w:jc w:val="left"/>
            </w:pPr>
            <w:r>
              <w:t xml:space="preserve">Scope 3 - Outbound Transport (Category 9)</w:t>
            </w:r>
          </w:p>
        </w:tc>
        <w:tc>
          <w:tcPr/>
          <w:p>
            <w:pPr>
              <w:pStyle w:val="Compact"/>
              <w:jc w:val="left"/>
            </w:pPr>
            <w:r>
              <w:t xml:space="preserve">85.50</w:t>
            </w:r>
          </w:p>
        </w:tc>
        <w:tc>
          <w:tcPr/>
          <w:p>
            <w:pPr>
              <w:pStyle w:val="Compact"/>
              <w:jc w:val="left"/>
            </w:pPr>
            <w:r>
              <w:t xml:space="preserve">Scope 3</w:t>
            </w:r>
          </w:p>
        </w:tc>
      </w:tr>
      <w:tr>
        <w:tc>
          <w:tcPr/>
          <w:p>
            <w:pPr>
              <w:pStyle w:val="Compact"/>
              <w:jc w:val="left"/>
            </w:pPr>
            <w:r>
              <w:t xml:space="preserve">Scope 3 - Use Phase (Category 11)</w:t>
            </w:r>
          </w:p>
        </w:tc>
        <w:tc>
          <w:tcPr/>
          <w:p>
            <w:pPr>
              <w:pStyle w:val="Compact"/>
              <w:jc w:val="left"/>
            </w:pPr>
            <w:r>
              <w:t xml:space="preserve">278.00</w:t>
            </w:r>
          </w:p>
        </w:tc>
        <w:tc>
          <w:tcPr/>
          <w:p>
            <w:pPr>
              <w:pStyle w:val="Compact"/>
              <w:jc w:val="left"/>
            </w:pPr>
            <w:r>
              <w:t xml:space="preserve">Scope 3</w:t>
            </w:r>
          </w:p>
        </w:tc>
      </w:tr>
      <w:tr>
        <w:tc>
          <w:tcPr/>
          <w:p>
            <w:pPr>
              <w:pStyle w:val="Compact"/>
              <w:jc w:val="left"/>
            </w:pPr>
            <w:r>
              <w:t xml:space="preserve">Scope 3 - End-of-Life (Category 12)</w:t>
            </w:r>
          </w:p>
        </w:tc>
        <w:tc>
          <w:tcPr/>
          <w:p>
            <w:pPr>
              <w:pStyle w:val="Compact"/>
              <w:jc w:val="left"/>
            </w:pPr>
            <w:r>
              <w:t xml:space="preserve">-0.38</w:t>
            </w:r>
          </w:p>
        </w:tc>
        <w:tc>
          <w:tcPr/>
          <w:p>
            <w:pPr>
              <w:pStyle w:val="Compact"/>
              <w:jc w:val="left"/>
            </w:pPr>
            <w:r>
              <w:t xml:space="preserve">Scope 3</w:t>
            </w:r>
          </w:p>
        </w:tc>
      </w:tr>
      <w:tr>
        <w:tc>
          <w:tcPr/>
          <w:p>
            <w:pPr>
              <w:pStyle w:val="Compact"/>
              <w:jc w:val="left"/>
            </w:pPr>
            <w:r>
              <w:rPr>
                <w:bCs/>
                <w:b/>
              </w:rPr>
              <w:t xml:space="preserve">TOTAL PCF (Cradle-to-Grave)</w:t>
            </w:r>
          </w:p>
        </w:tc>
        <w:tc>
          <w:tcPr/>
          <w:p>
            <w:pPr>
              <w:pStyle w:val="Compact"/>
              <w:jc w:val="left"/>
            </w:pPr>
            <w:r>
              <w:rPr>
                <w:bCs/>
                <w:b/>
              </w:rPr>
              <w:t xml:space="preserve">461.17 kg CO2e/unit</w:t>
            </w:r>
          </w:p>
        </w:tc>
        <w:tc>
          <w:tcPr/>
          <w:p>
            <w:pPr>
              <w:pStyle w:val="Compact"/>
              <w:jc w:val="left"/>
            </w:pPr>
            <w:r>
              <w:rPr>
                <w:bCs/>
                <w:b/>
              </w:rPr>
              <w:t xml:space="preserve">-</w:t>
            </w:r>
          </w:p>
        </w:tc>
      </w:tr>
    </w:tbl>
    <w:p>
      <w:pPr>
        <w:pStyle w:val="BodyText"/>
      </w:pPr>
      <w:r>
        <w:rPr>
          <w:bCs/>
          <w:b/>
        </w:rPr>
        <w:t xml:space="preserve">Total Scope 3 Emissions:</w:t>
      </w:r>
      <w:r>
        <w:t xml:space="preserve"> </w:t>
      </w:r>
      <w:r>
        <w:t xml:space="preserve">4.10 + 89.78 + 85.50 + 278.00 - 0.38 = 457.00 kg CO2e/unit</w:t>
      </w:r>
    </w:p>
    <w:p>
      <w:pPr>
        <w:pStyle w:val="BodyText"/>
      </w:pPr>
      <w:r>
        <w:rPr>
          <w:bCs/>
          <w:b/>
        </w:rPr>
        <w:t xml:space="preserve">Percentage of Scope 3 in Total PCF:</w:t>
      </w:r>
      <w:r>
        <w:t xml:space="preserve"> </w:t>
      </w:r>
      <w:r>
        <w:t xml:space="preserve">(457.00 / 461.17) * 100% = 99.09%</w:t>
      </w:r>
    </w:p>
    <w:p>
      <w:pPr>
        <w:pStyle w:val="BodyText"/>
      </w:pPr>
      <w:r>
        <w:t xml:space="preserve">This analysis achieves the required 95% Scope 3 coverage, demonstrating a comprehensive assessment of value chain emissions.</w:t>
      </w:r>
    </w:p>
    <w:bookmarkEnd w:id="37"/>
    <w:bookmarkEnd w:id="38"/>
    <w:p>
      <w:r>
        <w:pict>
          <v:rect style="width:0;height:1.5pt" o:hralign="center" o:hrstd="t" o:hr="t"/>
        </w:pict>
      </w:r>
    </w:p>
    <w:bookmarkStart w:id="42" w:name="review-report"/>
    <w:p>
      <w:pPr>
        <w:pStyle w:val="Heading2"/>
      </w:pPr>
      <w:r>
        <w:t xml:space="preserve">5. Review &amp; Report</w:t>
      </w:r>
    </w:p>
    <w:p>
      <w:pPr>
        <w:pStyle w:val="FirstParagraph"/>
      </w:pPr>
      <w:r>
        <w:t xml:space="preserve">The Product Carbon Footprint for one unit of</w:t>
      </w:r>
      <w:r>
        <w:t xml:space="preserve"> </w:t>
      </w:r>
      <w:r>
        <w:rPr>
          <w:bCs/>
          <w:b/>
        </w:rPr>
        <w:t xml:space="preserve">wefjlisftm</w:t>
      </w:r>
      <w:r>
        <w:t xml:space="preserve"> </w:t>
      </w:r>
      <w:r>
        <w:t xml:space="preserve">is estimated at</w:t>
      </w:r>
      <w:r>
        <w:t xml:space="preserve"> </w:t>
      </w:r>
      <w:r>
        <w:rPr>
          <w:bCs/>
          <w:b/>
        </w:rPr>
        <w:t xml:space="preserve">461.17 kg CO2e</w:t>
      </w:r>
      <w:r>
        <w:t xml:space="preserve">.</w:t>
      </w:r>
    </w:p>
    <w:bookmarkStart w:id="39" w:name="emission-hotspots"/>
    <w:p>
      <w:pPr>
        <w:pStyle w:val="Heading3"/>
      </w:pPr>
      <w:r>
        <w:t xml:space="preserve">5.1. Emission Hotspots</w:t>
      </w:r>
    </w:p>
    <w:p>
      <w:pPr>
        <w:pStyle w:val="FirstParagraph"/>
      </w:pPr>
      <w:r>
        <w:t xml:space="preserve">The analysis clearly identifies the following emission hotspots:</w:t>
      </w:r>
    </w:p>
    <w:p>
      <w:pPr>
        <w:numPr>
          <w:ilvl w:val="0"/>
          <w:numId w:val="1012"/>
        </w:numPr>
        <w:pStyle w:val="Compact"/>
      </w:pPr>
      <w:r>
        <w:rPr>
          <w:bCs/>
          <w:b/>
        </w:rPr>
        <w:t xml:space="preserve">Use Phase (Category 11):</w:t>
      </w:r>
      <w:r>
        <w:t xml:space="preserve"> </w:t>
      </w:r>
      <w:r>
        <w:t xml:space="preserve">Constitutes the largest portion of the PCF (approximately 60%), primarily due to energy consumption over the product\'s 5-year lifespan. This indicates significant opportunities for design improvements focusing on energy efficiency and extended product durability.</w:t>
      </w:r>
    </w:p>
    <w:p>
      <w:pPr>
        <w:numPr>
          <w:ilvl w:val="0"/>
          <w:numId w:val="1012"/>
        </w:numPr>
        <w:pStyle w:val="Compact"/>
      </w:pPr>
      <w:r>
        <w:rPr>
          <w:bCs/>
          <w:b/>
        </w:rPr>
        <w:t xml:space="preserve">Transportation (Categories 4 &amp; 9):</w:t>
      </w:r>
      <w:r>
        <w:t xml:space="preserve"> </w:t>
      </w:r>
      <w:r>
        <w:t xml:space="preserve">Inbound and outbound logistics combined represent a substantial share (approximately 38%) of the total PCF, driven by long transport distances in the supply chain. Optimizing logistics, exploring alternative transport modes, or localizing material sourcing could yield significant reductions.</w:t>
      </w:r>
    </w:p>
    <w:p>
      <w:pPr>
        <w:numPr>
          <w:ilvl w:val="0"/>
          <w:numId w:val="1012"/>
        </w:numPr>
        <w:pStyle w:val="Compact"/>
      </w:pPr>
      <w:r>
        <w:rPr>
          <w:bCs/>
          <w:b/>
        </w:rPr>
        <w:t xml:space="preserve">Materials (Category 1):</w:t>
      </w:r>
      <w:r>
        <w:t xml:space="preserve"> </w:t>
      </w:r>
      <w:r>
        <w:t xml:space="preserve">While smaller than use phase and transport, material production still contributes a notable portion (less than 1%) and is critical for cradle-to-gate accounting. Focusing on lower-carbon materials and increasing recycled content remains important.</w:t>
      </w:r>
    </w:p>
    <w:bookmarkEnd w:id="39"/>
    <w:bookmarkStart w:id="40" w:name="reliability-and-limitations"/>
    <w:p>
      <w:pPr>
        <w:pStyle w:val="Heading3"/>
      </w:pPr>
      <w:r>
        <w:t xml:space="preserve">5.2. Reliability and Limitations</w:t>
      </w:r>
    </w:p>
    <w:p>
      <w:pPr>
        <w:pStyle w:val="FirstParagraph"/>
      </w:pPr>
      <w:r>
        <w:t xml:space="preserve">The reliability of this PCF is influenced by several factors:</w:t>
      </w:r>
    </w:p>
    <w:p>
      <w:pPr>
        <w:numPr>
          <w:ilvl w:val="0"/>
          <w:numId w:val="1013"/>
        </w:numPr>
        <w:pStyle w:val="Compact"/>
      </w:pPr>
      <w:r>
        <w:rPr>
          <w:bCs/>
          <w:b/>
        </w:rPr>
        <w:t xml:space="preserve">Data Quality:</w:t>
      </w:r>
      <w:r>
        <w:t xml:space="preserve"> </w:t>
      </w:r>
      <w:r>
        <w:t xml:space="preserve">This report incorporates specific parameterized data (BOM, energy usage, lifespan, recyclability) as instructed. However, the exact numerical values for these parameters were assumed based on common industry practices due to the placeholder nature of the input strings. Real-world calculations would require precise, primary data from zeshynnzkq and its suppliers to enhance accuracy.</w:t>
      </w:r>
    </w:p>
    <w:p>
      <w:pPr>
        <w:numPr>
          <w:ilvl w:val="0"/>
          <w:numId w:val="1013"/>
        </w:numPr>
        <w:pStyle w:val="Compact"/>
      </w:pPr>
      <w:r>
        <w:rPr>
          <w:bCs/>
          <w:b/>
        </w:rPr>
        <w:t xml:space="preserve">Emission Factors:</w:t>
      </w:r>
      <w:r>
        <w:t xml:space="preserve"> </w:t>
      </w:r>
      <w:r>
        <w:t xml:space="preserve">Generic, publicly available emission factors were used where specific Ecoinvent/DEFRA data were not accessible. While these are industry-standard, product-specific or supplier-specific emission factors would further refine the results.</w:t>
      </w:r>
    </w:p>
    <w:p>
      <w:pPr>
        <w:numPr>
          <w:ilvl w:val="0"/>
          <w:numId w:val="1013"/>
        </w:numPr>
        <w:pStyle w:val="Compact"/>
      </w:pPr>
      <w:r>
        <w:rPr>
          <w:bCs/>
          <w:b/>
        </w:rPr>
        <w:t xml:space="preserve">System Boundary:</w:t>
      </w:r>
      <w:r>
        <w:t xml:space="preserve"> </w:t>
      </w:r>
      <w:r>
        <w:t xml:space="preserve">The "Cradle-to-Grave" boundary provides a holistic view, but the level of detail for each stage can vary. "Factory_gate" as a focus for production is good, but full visibility into all tiers of the upstream supply chain for every material can be challenging.</w:t>
      </w:r>
    </w:p>
    <w:p>
      <w:pPr>
        <w:numPr>
          <w:ilvl w:val="0"/>
          <w:numId w:val="1013"/>
        </w:numPr>
        <w:pStyle w:val="Compact"/>
      </w:pPr>
      <w:r>
        <w:rPr>
          <w:bCs/>
          <w:b/>
        </w:rPr>
        <w:t xml:space="preserve">LSR Standard:</w:t>
      </w:r>
      <w:r>
        <w:t xml:space="preserve"> </w:t>
      </w:r>
      <w:r>
        <w:t xml:space="preserve">While acknowledged, a detailed application of the 2026 LSR Standard would require specific data on land-use change or biogenic carbon associated with raw material sourcing, which was not available.</w:t>
      </w:r>
    </w:p>
    <w:bookmarkEnd w:id="40"/>
    <w:bookmarkStart w:id="41" w:name="recommendations"/>
    <w:p>
      <w:pPr>
        <w:pStyle w:val="Heading3"/>
      </w:pPr>
      <w:r>
        <w:t xml:space="preserve">5.3. Recommendations</w:t>
      </w:r>
    </w:p>
    <w:p>
      <w:pPr>
        <w:pStyle w:val="FirstParagraph"/>
      </w:pPr>
      <w:r>
        <w:t xml:space="preserve">To further reduce the PCF of wefjlisftm and enhance reporting accuracy:</w:t>
      </w:r>
    </w:p>
    <w:p>
      <w:pPr>
        <w:numPr>
          <w:ilvl w:val="0"/>
          <w:numId w:val="1014"/>
        </w:numPr>
        <w:pStyle w:val="Compact"/>
      </w:pPr>
      <w:r>
        <w:rPr>
          <w:bCs/>
          <w:b/>
        </w:rPr>
        <w:t xml:space="preserve">Energy Efficiency in Use:</w:t>
      </w:r>
      <w:r>
        <w:t xml:space="preserve"> </w:t>
      </w:r>
      <w:r>
        <w:t xml:space="preserve">Prioritize design improvements that reduce the product\'s energy consumption during its use phase.</w:t>
      </w:r>
    </w:p>
    <w:p>
      <w:pPr>
        <w:numPr>
          <w:ilvl w:val="0"/>
          <w:numId w:val="1014"/>
        </w:numPr>
        <w:pStyle w:val="Compact"/>
      </w:pPr>
      <w:r>
        <w:rPr>
          <w:bCs/>
          <w:b/>
        </w:rPr>
        <w:t xml:space="preserve">Supply Chain Optimization:</w:t>
      </w:r>
      <w:r>
        <w:t xml:space="preserve"> </w:t>
      </w:r>
      <w:r>
        <w:t xml:space="preserve">Investigate opportunities to optimize logistics, reduce transport distances, and explore lower-emission transport modes (e.g., rail, sea freight) for inbound and outbound movements.</w:t>
      </w:r>
    </w:p>
    <w:p>
      <w:pPr>
        <w:numPr>
          <w:ilvl w:val="0"/>
          <w:numId w:val="1014"/>
        </w:numPr>
        <w:pStyle w:val="Compact"/>
      </w:pPr>
      <w:r>
        <w:rPr>
          <w:bCs/>
          <w:b/>
        </w:rPr>
        <w:t xml:space="preserve">Material Circularity:</w:t>
      </w:r>
      <w:r>
        <w:t xml:space="preserve"> </w:t>
      </w:r>
      <w:r>
        <w:t xml:space="preserve">Continue to enhance circular economy initiatives, including increasing recycled content in materials and expanding take-back and refurbishment programs. Detailed tracking of material flows through these programs can provide more accurate EoL emissions/credits.</w:t>
      </w:r>
    </w:p>
    <w:p>
      <w:pPr>
        <w:numPr>
          <w:ilvl w:val="0"/>
          <w:numId w:val="1014"/>
        </w:numPr>
        <w:pStyle w:val="Compact"/>
      </w:pPr>
      <w:r>
        <w:rPr>
          <w:bCs/>
          <w:b/>
        </w:rPr>
        <w:t xml:space="preserve">Data Collection:</w:t>
      </w:r>
      <w:r>
        <w:t xml:space="preserve"> </w:t>
      </w:r>
      <w:r>
        <w:t xml:space="preserve">Implement robust systems for collecting primary, activity-based data directly from suppliers and internal operations to improve the accuracy and auditability of Scope 3 emissions, as emphasized by the 2026 GHG Protocol revisions.</w:t>
      </w:r>
    </w:p>
    <w:bookmarkEnd w:id="41"/>
    <w:bookmarkEnd w:id="42"/>
    <w:p>
      <w:r>
        <w:pict>
          <v:rect style="width:0;height:1.5pt" o:hralign="center" o:hrstd="t" o:hr="t"/>
        </w:pict>
      </w:r>
    </w:p>
    <w:p>
      <w:pPr>
        <w:pStyle w:val="FirstParagraph"/>
      </w:pPr>
      <w:r>
        <w:t xml:space="preserve">Confidential - Internal Use Only | Page</w:t>
      </w:r>
      <w:r>
        <w:t xml:space="preserve"> </w:t>
      </w:r>
      <w:bookmarkStart w:id="43" w:name="page-num"/>
      <w:bookmarkEnd w:id="43"/>
      <w:r>
        <w:t xml:space="preserve"> </w:t>
      </w:r>
      <w:r>
        <w:t xml:space="preserve">of</w:t>
      </w:r>
      <w:r>
        <w:t xml:space="preserve"> </w:t>
      </w:r>
      <w:bookmarkStart w:id="44" w:name="total-pages"/>
      <w:bookmarkEnd w:id="4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wefjlisftm</dc:title>
  <dc:creator/>
  <dc:description>Detailed Product Carbon Footprint (PCF) analysis report for product wefjlisftm, company zeshynnzkq, adhering to GHG Protocol standards and 2026 updates.</dc:description>
  <dc:language>en</dc:language>
  <cp:keywords/>
  <dcterms:created xsi:type="dcterms:W3CDTF">2026-07-15T15:29:57Z</dcterms:created>
  <dcterms:modified xsi:type="dcterms:W3CDTF">2026-07-15T15:29:57Z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