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wdtonxinox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wdtonxinox</w:t>
      </w:r>
    </w:p>
    <w:p>
      <w:pPr>
        <w:pStyle w:val="BodyText"/>
      </w:pPr>
      <w:r>
        <w:rPr>
          <w:bCs/>
          <w:b/>
        </w:rPr>
        <w:t xml:space="preserve">Company Name:</w:t>
      </w:r>
      <w:r>
        <w:t xml:space="preserve"> </w:t>
      </w:r>
      <w:r>
        <w:t xml:space="preserve">hmesspytve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tryyguqzxp</w:t>
      </w:r>
    </w:p>
    <w:p>
      <w:pPr>
        <w:pStyle w:val="BodyText"/>
      </w:pPr>
      <w:r>
        <w:rPr>
          <w:iCs/>
          <w:i/>
        </w:rPr>
        <w:t xml:space="preserve">Disclaimer: This report is generated based on available data and industry standards.</w:t>
      </w:r>
      <w:r>
        <w:rPr>
          <w:iCs/>
          <w:i/>
        </w:rPr>
        <w:t xml:space="preserve"> </w:t>
      </w:r>
      <w:r>
        <w:rPr>
          <w:iCs/>
          <w:i/>
        </w:rPr>
        <w:t xml:space="preserve">Illustrative values and general emission factors have been used for parameters where specific data was not provided.</w:t>
      </w:r>
      <w:r>
        <w:rPr>
          <w:iCs/>
          <w:i/>
        </w:rPr>
        <w:t xml:space="preserve"> </w:t>
      </w:r>
      <w:r>
        <w:rPr>
          <w:iCs/>
          <w:i/>
        </w:rPr>
        <w:t xml:space="preserve">A full, verified PCF would require primary data collection and site-specific assessments.</w:t>
      </w:r>
    </w:p>
    <w:bookmarkEnd w:id="20"/>
    <w:bookmarkStart w:id="21" w:name="X61a87044e23117b8ca53f71aa677e0da0f1d1d6"/>
    <w:p>
      <w:pPr>
        <w:pStyle w:val="Heading1"/>
      </w:pPr>
      <w:r>
        <w:t xml:space="preserve">Product Carbon Footprint Report for wdtonxinox</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wdtonxinox</w:t>
      </w:r>
      <w:r>
        <w:t xml:space="preserve">, manufactured by</w:t>
      </w:r>
      <w:r>
        <w:t xml:space="preserve"> </w:t>
      </w:r>
      <w:r>
        <w:rPr>
          <w:bCs/>
          <w:b/>
        </w:rPr>
        <w:t xml:space="preserve">hmesspytve</w:t>
      </w:r>
      <w:r>
        <w:t xml:space="preserve">. The analysis was conducted by Senior Sustainability Consultant</w:t>
      </w:r>
      <w:r>
        <w:t xml:space="preserve"> </w:t>
      </w:r>
      <w:r>
        <w:rPr>
          <w:bCs/>
          <w:b/>
        </w:rPr>
        <w:t xml:space="preserve">tryyguqzxp</w:t>
      </w:r>
      <w:r>
        <w:t xml:space="preserve">, adhering to the GHG Protocol standards. The total Product Carbon Footprint for one functional unit of wdtonxinox is calculated to be</w:t>
      </w:r>
      <w:r>
        <w:t xml:space="preserve"> </w:t>
      </w:r>
      <w:r>
        <w:rPr>
          <w:bCs/>
          <w:b/>
        </w:rPr>
        <w:t xml:space="preserve">18.91 kg CO2e</w:t>
      </w:r>
      <w:r>
        <w:t xml:space="preserve">. The largest contributing phase to the product\'s carbon footprint is the Use Phase, primarily due to energy consumption during the product\'s lifespan. This analysis incorporates detailed Bill of Materials (BOM) data, specific logistics, production energy mix, product lifespan, and end-of-life scenarios, providing a comprehensive assessment for identifying emission hotspots and informing decarbonization strategies. The report also integrates considerations from the GHG Protocol\'s 2026 Land Sector and Removals (LSR) update and the enhanced Scope 3 compliance requirements.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wdtonxinox</w:t>
      </w:r>
      <w:r>
        <w:t xml:space="preserve">. This unit represents the smallest quantifiable amount of the product for which environmental impacts are assessed.</w:t>
      </w:r>
    </w:p>
    <w:bookmarkEnd w:id="23"/>
    <w:bookmarkStart w:id="24"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cradle-to-gate-plus-use-and-end-of-life approach covers all emissions from raw material extraction, processing, manufacturing at the factory gate, transportation to the customer, the product\'s use phase, and its end-of-life treatment.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distribution)</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w:t>
      </w:r>
      <w:r>
        <w:t xml:space="preserve">, specifically the Product Standard, which provides a comprehensive framework for measuring and reporting the lifecycle greenhouse gas emissions of products. Emissions are categorized into Scope 1 (direct emissions from owned or controlled sources), Scope 2 (indirect emissions from the generation of purchased energy), and Scope 3 (all other indirect emissions that occur in the value chain, both upstream and downstream).</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lifecycle stages of the wdtonxinox product and the primary and secondary data points collected for the analysis.</w:t>
      </w:r>
    </w:p>
    <w:bookmarkStart w:id="28" w:name="detailed-bill-of-materials-bom-wmfysnfl"/>
    <w:p>
      <w:pPr>
        <w:pStyle w:val="Heading3"/>
      </w:pPr>
      <w:r>
        <w:t xml:space="preserve">Detailed Bill of Materials (BOM): wmfysnfl</w:t>
      </w:r>
    </w:p>
    <w:p>
      <w:pPr>
        <w:pStyle w:val="FirstParagraph"/>
      </w:pPr>
      <w:r>
        <w:t xml:space="preserve">The following Bill of Materials (BOM) for wdtonxinox was provided and used for high-accuracy material impact calculation. The "Emission Factor" represents the carbon footprint per unit of the material (e.g., kgCO2e/kg or kgCO2e/unit), and "Total Carbon" is the calculated emission for the quantity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MAT005</w:t>
            </w:r>
          </w:p>
        </w:tc>
        <w:tc>
          <w:tcPr/>
          <w:p>
            <w:pPr>
              <w:pStyle w:val="Compact"/>
              <w:jc w:val="left"/>
            </w:pPr>
            <w:r>
              <w:t xml:space="preserve">Electronic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gridSpan w:val="7"/>
          </w:tcPr>
          <w:p>
            <w:pPr>
              <w:pStyle w:val="Compact"/>
              <w:jc w:val="right"/>
            </w:pPr>
            <w:r>
              <w:rPr>
                <w:bCs/>
                <w:b/>
              </w:rPr>
              <w:t xml:space="preserve">Total Material Carbon (Upstream)</w:t>
            </w:r>
          </w:p>
        </w:tc>
        <w:tc>
          <w:tcPr/>
          <w:p>
            <w:pPr>
              <w:pStyle w:val="Compact"/>
              <w:jc w:val="left"/>
            </w:pPr>
            <w:r>
              <w:rPr>
                <w:bCs/>
                <w:b/>
              </w:rPr>
              <w:t xml:space="preserve">6.425 kgCO2e</w:t>
            </w:r>
          </w:p>
        </w:tc>
      </w:tr>
    </w:tbl>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hyofxmofje (Illustrative Value: 15 kWh/unit)</w:t>
      </w:r>
    </w:p>
    <w:p>
      <w:pPr>
        <w:numPr>
          <w:ilvl w:val="0"/>
          <w:numId w:val="1002"/>
        </w:numPr>
        <w:pStyle w:val="Compact"/>
      </w:pPr>
      <w:r>
        <w:rPr>
          <w:bCs/>
          <w:b/>
        </w:rPr>
        <w:t xml:space="preserve">Renewable Energy Usage:</w:t>
      </w:r>
      <w:r>
        <w:t xml:space="preserve"> </w:t>
      </w:r>
      <w:r>
        <w:t xml:space="preserve">nnziphxmpg (Illustrative Value: 70%)</w:t>
      </w:r>
    </w:p>
    <w:p>
      <w:pPr>
        <w:numPr>
          <w:ilvl w:val="0"/>
          <w:numId w:val="1002"/>
        </w:numPr>
        <w:pStyle w:val="Compact"/>
      </w:pPr>
      <w:r>
        <w:rPr>
          <w:bCs/>
          <w:b/>
        </w:rPr>
        <w:t xml:space="preserve">Non-Renewable Electricity Consumption:</w:t>
      </w:r>
      <w:r>
        <w:t xml:space="preserve"> </w:t>
      </w:r>
      <w:r>
        <w:t xml:space="preserve">15 kWh/unit * (1 - 0.70) = 4.5 kWh/unit</w:t>
      </w:r>
    </w:p>
    <w:p>
      <w:pPr>
        <w:numPr>
          <w:ilvl w:val="0"/>
          <w:numId w:val="1002"/>
        </w:numPr>
        <w:pStyle w:val="Compact"/>
      </w:pPr>
      <w:r>
        <w:rPr>
          <w:bCs/>
          <w:b/>
        </w:rPr>
        <w:t xml:space="preserve">Emission Factor (China Grid Mix, 2026 Illustrative):</w:t>
      </w:r>
      <w:r>
        <w:t xml:space="preserve"> </w:t>
      </w:r>
      <w:r>
        <w:t xml:space="preserve">0.50 kgCO2e/kWh</w:t>
      </w:r>
    </w:p>
    <w:p>
      <w:pPr>
        <w:numPr>
          <w:ilvl w:val="0"/>
          <w:numId w:val="1002"/>
        </w:numPr>
        <w:pStyle w:val="Compact"/>
      </w:pPr>
      <w:r>
        <w:rPr>
          <w:bCs/>
          <w:b/>
        </w:rPr>
        <w:t xml:space="preserve">Emissions from Production Energy (Scope 2):</w:t>
      </w:r>
      <w:r>
        <w:t xml:space="preserve"> </w:t>
      </w:r>
      <w:r>
        <w:t xml:space="preserve">4.5 kWh/unit * 0.50 kgCO2e/kWh =</w:t>
      </w:r>
      <w:r>
        <w:t xml:space="preserve"> </w:t>
      </w:r>
      <w:r>
        <w:rPr>
          <w:bCs/>
          <w:b/>
        </w:rPr>
        <w:t xml:space="preserve">2.25 kgCO2e</w:t>
      </w:r>
    </w:p>
    <w:bookmarkEnd w:id="29"/>
    <w:bookmarkStart w:id="30" w:name="transport-logistics-upstream-downstream"/>
    <w:p>
      <w:pPr>
        <w:pStyle w:val="Heading3"/>
      </w:pPr>
      <w:r>
        <w:t xml:space="preserve">Transport Logistics (Upstream &amp; Downstream)</w:t>
      </w:r>
    </w:p>
    <w:p>
      <w:pPr>
        <w:numPr>
          <w:ilvl w:val="0"/>
          <w:numId w:val="1003"/>
        </w:numPr>
        <w:pStyle w:val="Compact"/>
      </w:pPr>
      <w:r>
        <w:rPr>
          <w:bCs/>
          <w:b/>
        </w:rPr>
        <w:t xml:space="preserve">Raw Materials Transport Distance (Europe to China):</w:t>
      </w:r>
      <w:r>
        <w:t xml:space="preserve"> </w:t>
      </w:r>
      <w:r>
        <w:t xml:space="preserve">yrjxikqmtf (Illustrative Value: 8,000 km Ocean Freight, 500 km Road Freight)</w:t>
      </w:r>
    </w:p>
    <w:p>
      <w:pPr>
        <w:numPr>
          <w:ilvl w:val="0"/>
          <w:numId w:val="1003"/>
        </w:numPr>
        <w:pStyle w:val="Compact"/>
      </w:pPr>
      <w:r>
        <w:rPr>
          <w:bCs/>
          <w:b/>
        </w:rPr>
        <w:t xml:space="preserve">Transport Mode (Raw Materials):</w:t>
      </w:r>
      <w:r>
        <w:t xml:space="preserve"> </w:t>
      </w:r>
      <w:r>
        <w:t xml:space="preserve">Select Mode (Illustrative Value: Ocean Freight (90%), Road Freight (10%))</w:t>
      </w:r>
    </w:p>
    <w:p>
      <w:pPr>
        <w:numPr>
          <w:ilvl w:val="0"/>
          <w:numId w:val="1003"/>
        </w:numPr>
        <w:pStyle w:val="Compact"/>
      </w:pPr>
      <w:r>
        <w:rPr>
          <w:bCs/>
          <w:b/>
        </w:rPr>
        <w:t xml:space="preserve">Finished Product Transport Distance (Factory to Customer, Europe):</w:t>
      </w:r>
      <w:r>
        <w:t xml:space="preserve"> </w:t>
      </w:r>
      <w:r>
        <w:t xml:space="preserve">yrjxikqmtf (Illustrative Value: 500 km Road Freight, 50 km Last-Mile Delivery)</w:t>
      </w:r>
    </w:p>
    <w:p>
      <w:pPr>
        <w:numPr>
          <w:ilvl w:val="0"/>
          <w:numId w:val="1003"/>
        </w:numPr>
        <w:pStyle w:val="Compact"/>
      </w:pPr>
      <w:r>
        <w:rPr>
          <w:bCs/>
          <w:b/>
        </w:rPr>
        <w:t xml:space="preserve">Last-Mile Delivery Channel:</w:t>
      </w:r>
      <w:r>
        <w:t xml:space="preserve"> </w:t>
      </w:r>
      <w:r>
        <w:t xml:space="preserve">Delivery Type (Illustrative Value: Light Commercial Vehicle)</w:t>
      </w:r>
    </w:p>
    <w:p>
      <w:pPr>
        <w:numPr>
          <w:ilvl w:val="0"/>
          <w:numId w:val="1003"/>
        </w:numPr>
        <w:pStyle w:val="Compact"/>
      </w:pPr>
      <w:r>
        <w:rPr>
          <w:bCs/>
          <w:b/>
        </w:rPr>
        <w:t xml:space="preserve">Emission Factors (Illustrative):</w:t>
      </w:r>
    </w:p>
    <w:p>
      <w:pPr>
        <w:numPr>
          <w:ilvl w:val="1"/>
          <w:numId w:val="1004"/>
        </w:numPr>
        <w:pStyle w:val="Compact"/>
      </w:pPr>
      <w:r>
        <w:t xml:space="preserve">Ocean Freight (container ship): 0.016 kgCO2e/tonne-km</w:t>
      </w:r>
    </w:p>
    <w:p>
      <w:pPr>
        <w:numPr>
          <w:ilvl w:val="1"/>
          <w:numId w:val="1004"/>
        </w:numPr>
        <w:pStyle w:val="Compact"/>
      </w:pPr>
      <w:r>
        <w:t xml:space="preserve">Road Freight (heavy-duty truck): 0.08 kgCO2e/tonne-km</w:t>
      </w:r>
    </w:p>
    <w:p>
      <w:pPr>
        <w:numPr>
          <w:ilvl w:val="1"/>
          <w:numId w:val="1004"/>
        </w:numPr>
        <w:pStyle w:val="Compact"/>
      </w:pPr>
      <w:r>
        <w:t xml:space="preserve">Light Commercial Vehicle (last-mile allocation per product): 0.075 kgCO2e/unit (based on 0.15 kgCO2e/km vehicle EF and 50 km route, assuming 100 products per vehicle)</w:t>
      </w:r>
    </w:p>
    <w:p>
      <w:pPr>
        <w:numPr>
          <w:ilvl w:val="0"/>
          <w:numId w:val="1003"/>
        </w:numPr>
        <w:pStyle w:val="Compact"/>
      </w:pPr>
      <w:r>
        <w:rPr>
          <w:bCs/>
          <w:b/>
        </w:rPr>
        <w:t xml:space="preserve">Calculated Transport Emissions (assuming 1 kg product weight for allocation):</w:t>
      </w:r>
    </w:p>
    <w:p>
      <w:pPr>
        <w:numPr>
          <w:ilvl w:val="1"/>
          <w:numId w:val="1005"/>
        </w:numPr>
        <w:pStyle w:val="Compact"/>
      </w:pPr>
      <w:r>
        <w:t xml:space="preserve">Raw Materials Ocean Freight: 8,000 km * 0.001 tonne * 0.016 kgCO2e/tonne-km = 0.128 kgCO2e</w:t>
      </w:r>
    </w:p>
    <w:p>
      <w:pPr>
        <w:numPr>
          <w:ilvl w:val="1"/>
          <w:numId w:val="1005"/>
        </w:numPr>
        <w:pStyle w:val="Compact"/>
      </w:pPr>
      <w:r>
        <w:t xml:space="preserve">Raw Materials Road Freight: 500 km * 0.001 tonne * 0.08 kgCO2e/tonne-km = 0.040 kgCO2e</w:t>
      </w:r>
    </w:p>
    <w:p>
      <w:pPr>
        <w:numPr>
          <w:ilvl w:val="1"/>
          <w:numId w:val="1005"/>
        </w:numPr>
        <w:pStyle w:val="Compact"/>
      </w:pPr>
      <w:r>
        <w:t xml:space="preserve">Finished Product Road Freight: 500 km * 0.001 tonne * 0.08 kgCO2e/tonne-km = 0.040 kgCO2e</w:t>
      </w:r>
    </w:p>
    <w:p>
      <w:pPr>
        <w:numPr>
          <w:ilvl w:val="1"/>
          <w:numId w:val="1005"/>
        </w:numPr>
        <w:pStyle w:val="Compact"/>
      </w:pPr>
      <w:r>
        <w:t xml:space="preserve">Finished Product Last-Mile Delivery: 0.075 kgCO2e</w:t>
      </w:r>
    </w:p>
    <w:p>
      <w:pPr>
        <w:numPr>
          <w:ilvl w:val="1"/>
          <w:numId w:val="1005"/>
        </w:numPr>
        <w:pStyle w:val="Compact"/>
      </w:pPr>
      <w:r>
        <w:rPr>
          <w:bCs/>
          <w:b/>
        </w:rPr>
        <w:t xml:space="preserve">Total Transport Emissions (Scope 3):</w:t>
      </w:r>
      <w:r>
        <w:t xml:space="preserve"> </w:t>
      </w:r>
      <w:r>
        <w:t xml:space="preserve">0.128 + 0.040 + 0.040 + 0.075 =</w:t>
      </w:r>
      <w:r>
        <w:t xml:space="preserve"> </w:t>
      </w:r>
      <w:r>
        <w:rPr>
          <w:bCs/>
          <w:b/>
        </w:rPr>
        <w:t xml:space="preserve">0.283 kgCO2e</w:t>
      </w:r>
    </w:p>
    <w:bookmarkEnd w:id="30"/>
    <w:bookmarkStart w:id="31" w:name="use-phase"/>
    <w:p>
      <w:pPr>
        <w:pStyle w:val="Heading3"/>
      </w:pPr>
      <w:r>
        <w:t xml:space="preserve">Use Phase</w:t>
      </w:r>
    </w:p>
    <w:p>
      <w:pPr>
        <w:numPr>
          <w:ilvl w:val="0"/>
          <w:numId w:val="1006"/>
        </w:numPr>
        <w:pStyle w:val="Compact"/>
      </w:pPr>
      <w:r>
        <w:rPr>
          <w:bCs/>
          <w:b/>
        </w:rPr>
        <w:t xml:space="preserve">Product Lifespan:</w:t>
      </w:r>
      <w:r>
        <w:t xml:space="preserve"> </w:t>
      </w:r>
      <w:r>
        <w:t xml:space="preserve">qylyemkzgj (Illustrative Value: 7 years)</w:t>
      </w:r>
    </w:p>
    <w:p>
      <w:pPr>
        <w:numPr>
          <w:ilvl w:val="0"/>
          <w:numId w:val="1006"/>
        </w:numPr>
        <w:pStyle w:val="Compact"/>
      </w:pPr>
      <w:r>
        <w:rPr>
          <w:bCs/>
          <w:b/>
        </w:rPr>
        <w:t xml:space="preserve">Energy Consumption in Use (Annual):</w:t>
      </w:r>
      <w:r>
        <w:t xml:space="preserve"> </w:t>
      </w:r>
      <w:r>
        <w:t xml:space="preserve">dksrtzwrgx (Illustrative Value: 10 kWh/year)</w:t>
      </w:r>
    </w:p>
    <w:p>
      <w:pPr>
        <w:numPr>
          <w:ilvl w:val="0"/>
          <w:numId w:val="1006"/>
        </w:numPr>
        <w:pStyle w:val="Compact"/>
      </w:pPr>
      <w:r>
        <w:rPr>
          <w:bCs/>
          <w:b/>
        </w:rPr>
        <w:t xml:space="preserve">Total Energy Consumption over Lifespan:</w:t>
      </w:r>
      <w:r>
        <w:t xml:space="preserve"> </w:t>
      </w:r>
      <w:r>
        <w:t xml:space="preserve">7 years * 10 kWh/year = 70 kWh</w:t>
      </w:r>
    </w:p>
    <w:p>
      <w:pPr>
        <w:numPr>
          <w:ilvl w:val="0"/>
          <w:numId w:val="1006"/>
        </w:numPr>
        <w:pStyle w:val="Compact"/>
      </w:pPr>
      <w:r>
        <w:rPr>
          <w:bCs/>
          <w:b/>
        </w:rPr>
        <w:t xml:space="preserve">Emission Factor (Europe Average Grid Mix, 2026 Illustrative):</w:t>
      </w:r>
      <w:r>
        <w:t xml:space="preserve"> </w:t>
      </w:r>
      <w:r>
        <w:t xml:space="preserve">0.15 kgCO2e/kWh</w:t>
      </w:r>
    </w:p>
    <w:p>
      <w:pPr>
        <w:numPr>
          <w:ilvl w:val="0"/>
          <w:numId w:val="1006"/>
        </w:numPr>
        <w:pStyle w:val="Compact"/>
      </w:pPr>
      <w:r>
        <w:rPr>
          <w:bCs/>
          <w:b/>
        </w:rPr>
        <w:t xml:space="preserve">Emissions from Use Phase (Scope 3):</w:t>
      </w:r>
      <w:r>
        <w:t xml:space="preserve"> </w:t>
      </w:r>
      <w:r>
        <w:t xml:space="preserve">70 kWh * 0.15 kgCO2e/kWh =</w:t>
      </w:r>
      <w:r>
        <w:t xml:space="preserve"> </w:t>
      </w:r>
      <w:r>
        <w:rPr>
          <w:bCs/>
          <w:b/>
        </w:rPr>
        <w:t xml:space="preserve">10.50 kgCO2e</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ttpiwynkhr (Illustrative Value: 70%)</w:t>
      </w:r>
    </w:p>
    <w:p>
      <w:pPr>
        <w:numPr>
          <w:ilvl w:val="0"/>
          <w:numId w:val="1007"/>
        </w:numPr>
        <w:pStyle w:val="Compact"/>
      </w:pPr>
      <w:r>
        <w:rPr>
          <w:bCs/>
          <w:b/>
        </w:rPr>
        <w:t xml:space="preserve">Circular/Take-back Programs:</w:t>
      </w:r>
      <w:r>
        <w:t xml:space="preserve"> </w:t>
      </w:r>
      <w:r>
        <w:t xml:space="preserve">dhovpqzzwz (Illustrative Value: Yes, via certified take-back schemes in Europe)</w:t>
      </w:r>
    </w:p>
    <w:p>
      <w:pPr>
        <w:numPr>
          <w:ilvl w:val="0"/>
          <w:numId w:val="1007"/>
        </w:numPr>
        <w:pStyle w:val="Compact"/>
      </w:pPr>
      <w:r>
        <w:rPr>
          <w:bCs/>
          <w:b/>
        </w:rPr>
        <w:t xml:space="preserve">Calculations (assuming 1 kg total product weight for EoL):</w:t>
      </w:r>
    </w:p>
    <w:p>
      <w:pPr>
        <w:numPr>
          <w:ilvl w:val="1"/>
          <w:numId w:val="1008"/>
        </w:numPr>
        <w:pStyle w:val="Compact"/>
      </w:pPr>
      <w:r>
        <w:t xml:space="preserve">Recycled Portion: 1 kg * 0.70 = 0.7 kg</w:t>
      </w:r>
    </w:p>
    <w:p>
      <w:pPr>
        <w:numPr>
          <w:ilvl w:val="1"/>
          <w:numId w:val="1008"/>
        </w:numPr>
        <w:pStyle w:val="Compact"/>
      </w:pPr>
      <w:r>
        <w:t xml:space="preserve">Non-Recycled Portion (Landfill/Incineration): 1 kg * (1 - 0.70) = 0.3 kg</w:t>
      </w:r>
    </w:p>
    <w:p>
      <w:pPr>
        <w:numPr>
          <w:ilvl w:val="1"/>
          <w:numId w:val="1008"/>
        </w:numPr>
        <w:pStyle w:val="Compact"/>
      </w:pPr>
      <w:r>
        <w:t xml:space="preserve">Avoided Emissions from Recycling (credit for displacing virgin material, illustrative EF: -1.0 kgCO2e/kg): 0.7 kg * -1.0 kgCO2e/kg = -0.70 kgCO2e</w:t>
      </w:r>
    </w:p>
    <w:p>
      <w:pPr>
        <w:numPr>
          <w:ilvl w:val="1"/>
          <w:numId w:val="1008"/>
        </w:numPr>
        <w:pStyle w:val="Compact"/>
      </w:pPr>
      <w:r>
        <w:t xml:space="preserve">Disposal Emissions (e.g., landfill for non-recycled, illustrative EF: 0.5 kgCO2e/kg): 0.3 kg * 0.5 kgCO2e/kg = 0.15 kgCO2e</w:t>
      </w:r>
    </w:p>
    <w:p>
      <w:pPr>
        <w:numPr>
          <w:ilvl w:val="1"/>
          <w:numId w:val="1008"/>
        </w:numPr>
        <w:pStyle w:val="Compact"/>
      </w:pPr>
      <w:r>
        <w:rPr>
          <w:bCs/>
          <w:b/>
        </w:rPr>
        <w:t xml:space="preserve">Net End-of-Life Emissions (Scope 3):</w:t>
      </w:r>
      <w:r>
        <w:t xml:space="preserve"> </w:t>
      </w:r>
      <w:r>
        <w:t xml:space="preserve">0.15 kgCO2e - 0.70 kgCO2e =</w:t>
      </w:r>
      <w:r>
        <w:t xml:space="preserve"> </w:t>
      </w:r>
      <w:r>
        <w:rPr>
          <w:bCs/>
          <w:b/>
        </w:rPr>
        <w:t xml:space="preserve">-0.55 kgCO2e</w:t>
      </w:r>
      <w:r>
        <w:t xml:space="preserve"> </w:t>
      </w:r>
      <w:r>
        <w:t xml:space="preserve">(Net removal/avoidance due to circularity)</w:t>
      </w:r>
    </w:p>
    <w:p>
      <w:r>
        <w:pict>
          <v:rect style="width:0;height:1.5pt" o:hralign="center" o:hrstd="t" o:hr="t"/>
        </w:pict>
      </w:r>
    </w:p>
    <w:bookmarkEnd w:id="32"/>
    <w:bookmarkEnd w:id="33"/>
    <w:bookmarkStart w:id="37" w:name="calculate-emissions"/>
    <w:p>
      <w:pPr>
        <w:pStyle w:val="Heading2"/>
      </w:pPr>
      <w:r>
        <w:t xml:space="preserve">4. Calculate Emissions</w:t>
      </w:r>
    </w:p>
    <w:p>
      <w:pPr>
        <w:pStyle w:val="FirstParagraph"/>
      </w:pPr>
      <w:r>
        <w:t xml:space="preserve">The total Product Carbon Footprint (PCF) for one functional unit of wdtonxinox is calculated by summing the emissions across all lifecycle stages. The emissions are categorized according to the GHG Protocol\'s Scope 1, Scope 2, and Scope 3 definitions.</w:t>
      </w:r>
    </w:p>
    <w:bookmarkStart w:id="34"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(Raw Material Acquisition &amp; Processing)</w:t>
            </w:r>
          </w:p>
        </w:tc>
        <w:tc>
          <w:tcPr/>
          <w:p>
            <w:pPr>
              <w:pStyle w:val="Compact"/>
              <w:jc w:val="left"/>
            </w:pPr>
            <w:r>
              <w:t xml:space="preserve">6.425</w:t>
            </w:r>
          </w:p>
        </w:tc>
        <w:tc>
          <w:tcPr/>
          <w:p>
            <w:pPr>
              <w:pStyle w:val="Compact"/>
              <w:jc w:val="left"/>
            </w:pPr>
            <w:r>
              <w:t xml:space="preserve">Scope 3 (Upstream)</w:t>
            </w:r>
          </w:p>
        </w:tc>
      </w:tr>
      <w:tr>
        <w:tc>
          <w:tcPr/>
          <w:p>
            <w:pPr>
              <w:pStyle w:val="Compact"/>
              <w:jc w:val="left"/>
            </w:pPr>
            <w:r>
              <w:t xml:space="preserve">Production Energy (Manufacturing)</w:t>
            </w:r>
          </w:p>
        </w:tc>
        <w:tc>
          <w:tcPr/>
          <w:p>
            <w:pPr>
              <w:pStyle w:val="Compact"/>
              <w:jc w:val="left"/>
            </w:pPr>
            <w:r>
              <w:t xml:space="preserve">2.250</w:t>
            </w:r>
          </w:p>
        </w:tc>
        <w:tc>
          <w:tcPr/>
          <w:p>
            <w:pPr>
              <w:pStyle w:val="Compact"/>
              <w:jc w:val="left"/>
            </w:pPr>
            <w:r>
              <w:t xml:space="preserve">Scope 2</w:t>
            </w:r>
          </w:p>
        </w:tc>
      </w:tr>
      <w:tr>
        <w:tc>
          <w:tcPr/>
          <w:p>
            <w:pPr>
              <w:pStyle w:val="Compact"/>
              <w:jc w:val="left"/>
            </w:pPr>
            <w:r>
              <w:t xml:space="preserve">Transport (Raw Materials Inbound)</w:t>
            </w:r>
          </w:p>
        </w:tc>
        <w:tc>
          <w:tcPr/>
          <w:p>
            <w:pPr>
              <w:pStyle w:val="Compact"/>
              <w:jc w:val="left"/>
            </w:pPr>
            <w:r>
              <w:t xml:space="preserve">0.168</w:t>
            </w:r>
          </w:p>
        </w:tc>
        <w:tc>
          <w:tcPr/>
          <w:p>
            <w:pPr>
              <w:pStyle w:val="Compact"/>
              <w:jc w:val="left"/>
            </w:pPr>
            <w:r>
              <w:t xml:space="preserve">Scope 3 (Upstream)</w:t>
            </w:r>
          </w:p>
        </w:tc>
      </w:tr>
      <w:tr>
        <w:tc>
          <w:tcPr/>
          <w:p>
            <w:pPr>
              <w:pStyle w:val="Compact"/>
              <w:jc w:val="left"/>
            </w:pPr>
            <w:r>
              <w:t xml:space="preserve">Transport (Finished Product Outbound)</w:t>
            </w:r>
          </w:p>
        </w:tc>
        <w:tc>
          <w:tcPr/>
          <w:p>
            <w:pPr>
              <w:pStyle w:val="Compact"/>
              <w:jc w:val="left"/>
            </w:pPr>
            <w:r>
              <w:t xml:space="preserve">0.115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10.500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-0.550</w:t>
            </w: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rPr>
                <w:bCs/>
                <w:b/>
              </w:rPr>
              <w:t xml:space="preserve">18.908</w:t>
            </w:r>
          </w:p>
        </w:tc>
        <w:tc>
          <w:tcPr/>
          <w:p>
            <w:pPr>
              <w:pStyle w:val="Compact"/>
            </w:pPr>
          </w:p>
        </w:tc>
      </w:tr>
    </w:tbl>
    <w:bookmarkEnd w:id="34"/>
    <w:bookmarkStart w:id="35" w:name="ghg-protocol-scopes-breakdown"/>
    <w:p>
      <w:pPr>
        <w:pStyle w:val="Heading3"/>
      </w:pPr>
      <w:r>
        <w:t xml:space="preserve">GHG Protocol Scopes Breakdown</w:t>
      </w:r>
    </w:p>
    <w:p>
      <w:pPr>
        <w:numPr>
          <w:ilvl w:val="0"/>
          <w:numId w:val="1009"/>
        </w:numPr>
      </w:pPr>
      <w:r>
        <w:rPr>
          <w:bCs/>
          <w:b/>
        </w:rPr>
        <w:t xml:space="preserve">Scope 1 Emissions (Direct Emissions):</w:t>
      </w:r>
      <w:r>
        <w:t xml:space="preserve"> </w:t>
      </w:r>
      <w:r>
        <w:t xml:space="preserve">0.00 kgCO2e</w:t>
      </w:r>
    </w:p>
    <w:p>
      <w:pPr>
        <w:numPr>
          <w:ilvl w:val="0"/>
          <w:numId w:val="1000"/>
        </w:numPr>
      </w:pPr>
      <w:r>
        <w:t xml:space="preserve">For a product carbon footprint with a \'factory_gate\' boundary, significant direct (Scope 1) emissions from owned or controlled operations are typically not allocated to the product itself unless specific on-site manufacturing fuels are directly consumed for its creation. In this analysis, such direct emissions are assumed to be negligible or covered by other corporate accounting.</w:t>
      </w:r>
    </w:p>
    <w:p>
      <w:pPr>
        <w:numPr>
          <w:ilvl w:val="0"/>
          <w:numId w:val="1009"/>
        </w:numPr>
      </w:pPr>
      <w:r>
        <w:rPr>
          <w:bCs/>
          <w:b/>
        </w:rPr>
        <w:t xml:space="preserve">Scope 2 Emissions (Purchased Energy):</w:t>
      </w:r>
      <w:r>
        <w:t xml:space="preserve"> </w:t>
      </w:r>
      <w:r>
        <w:t xml:space="preserve">2.25 kgCO2e</w:t>
      </w:r>
    </w:p>
    <w:p>
      <w:pPr>
        <w:numPr>
          <w:ilvl w:val="0"/>
          <w:numId w:val="1000"/>
        </w:numPr>
      </w:pPr>
      <w:r>
        <w:t xml:space="preserve">These emissions arise from the generation of purchased electricity used in the production process of wdtonxinox. Given the 70% renewable energy usage, only the non-renewable portion of electricity contributes to Scope 2.</w:t>
      </w:r>
    </w:p>
    <w:p>
      <w:pPr>
        <w:numPr>
          <w:ilvl w:val="0"/>
          <w:numId w:val="1009"/>
        </w:numPr>
      </w:pPr>
      <w:r>
        <w:rPr>
          <w:bCs/>
          <w:b/>
        </w:rPr>
        <w:t xml:space="preserve">Scope 3 Emissions (Value Chain Emissions):</w:t>
      </w:r>
      <w:r>
        <w:t xml:space="preserve"> </w:t>
      </w:r>
      <w:r>
        <w:t xml:space="preserve">16.66 kgCO2e</w:t>
      </w:r>
    </w:p>
    <w:p>
      <w:pPr>
        <w:numPr>
          <w:ilvl w:val="0"/>
          <w:numId w:val="1000"/>
        </w:numPr>
      </w:pPr>
      <w:r>
        <w:t xml:space="preserve">Scope 3 emissions constitute the largest portion of the product\'s carbon footprint, encompassing emissions from across the entire value chain.</w:t>
      </w:r>
    </w:p>
    <w:p>
      <w:pPr>
        <w:numPr>
          <w:ilvl w:val="1"/>
          <w:numId w:val="1010"/>
        </w:numPr>
        <w:pStyle w:val="Compact"/>
      </w:pPr>
      <w:r>
        <w:rPr>
          <w:bCs/>
          <w:b/>
        </w:rPr>
        <w:t xml:space="preserve">Upstream Scope 3:</w:t>
      </w:r>
    </w:p>
    <w:p>
      <w:pPr>
        <w:numPr>
          <w:ilvl w:val="2"/>
          <w:numId w:val="1011"/>
        </w:numPr>
        <w:pStyle w:val="Compact"/>
      </w:pPr>
      <w:r>
        <w:t xml:space="preserve">Materials (Raw Material Acquisition &amp; Processing): 6.425 kgCO2e</w:t>
      </w:r>
    </w:p>
    <w:p>
      <w:pPr>
        <w:numPr>
          <w:ilvl w:val="2"/>
          <w:numId w:val="1011"/>
        </w:numPr>
        <w:pStyle w:val="Compact"/>
      </w:pPr>
      <w:r>
        <w:t xml:space="preserve">Transport (Raw Materials Inbound): 0.168 kgCO2e</w:t>
      </w:r>
    </w:p>
    <w:p>
      <w:pPr>
        <w:numPr>
          <w:ilvl w:val="2"/>
          <w:numId w:val="1011"/>
        </w:numPr>
        <w:pStyle w:val="Compact"/>
      </w:pPr>
      <w:r>
        <w:rPr>
          <w:bCs/>
          <w:b/>
        </w:rPr>
        <w:t xml:space="preserve">Total Upstream Scope 3:</w:t>
      </w:r>
      <w:r>
        <w:t xml:space="preserve"> </w:t>
      </w:r>
      <w:r>
        <w:t xml:space="preserve">6.593 kgCO2e</w:t>
      </w:r>
    </w:p>
    <w:p>
      <w:pPr>
        <w:numPr>
          <w:ilvl w:val="1"/>
          <w:numId w:val="1010"/>
        </w:numPr>
        <w:pStyle w:val="Compact"/>
      </w:pPr>
      <w:r>
        <w:rPr>
          <w:bCs/>
          <w:b/>
        </w:rPr>
        <w:t xml:space="preserve">Downstream Scope 3:</w:t>
      </w:r>
    </w:p>
    <w:p>
      <w:pPr>
        <w:numPr>
          <w:ilvl w:val="2"/>
          <w:numId w:val="1012"/>
        </w:numPr>
        <w:pStyle w:val="Compact"/>
      </w:pPr>
      <w:r>
        <w:t xml:space="preserve">Transport (Finished Product Outbound): 0.115 kgCO2e</w:t>
      </w:r>
    </w:p>
    <w:p>
      <w:pPr>
        <w:numPr>
          <w:ilvl w:val="2"/>
          <w:numId w:val="1012"/>
        </w:numPr>
        <w:pStyle w:val="Compact"/>
      </w:pPr>
      <w:r>
        <w:t xml:space="preserve">Use Phase: 10.500 kgCO2e</w:t>
      </w:r>
    </w:p>
    <w:p>
      <w:pPr>
        <w:numPr>
          <w:ilvl w:val="2"/>
          <w:numId w:val="1012"/>
        </w:numPr>
        <w:pStyle w:val="Compact"/>
      </w:pPr>
      <w:r>
        <w:t xml:space="preserve">End-of-Life Treatment: -0.550 kgCO2e</w:t>
      </w:r>
    </w:p>
    <w:p>
      <w:pPr>
        <w:numPr>
          <w:ilvl w:val="2"/>
          <w:numId w:val="1012"/>
        </w:numPr>
        <w:pStyle w:val="Compact"/>
      </w:pPr>
      <w:r>
        <w:rPr>
          <w:bCs/>
          <w:b/>
        </w:rPr>
        <w:t xml:space="preserve">Total Downstream Scope 3:</w:t>
      </w:r>
      <w:r>
        <w:t xml:space="preserve"> </w:t>
      </w:r>
      <w:r>
        <w:t xml:space="preserve">10.065 kgCO2e</w:t>
      </w:r>
    </w:p>
    <w:bookmarkEnd w:id="35"/>
    <w:bookmarkStart w:id="36" w:name="lsr-update-scope-3-compliance"/>
    <w:p>
      <w:pPr>
        <w:pStyle w:val="Heading3"/>
      </w:pPr>
      <w:r>
        <w:t xml:space="preserve">2026 LSR Update &amp; Scope 3 Compliance</w:t>
      </w:r>
    </w:p>
    <w:p>
      <w:pPr>
        <w:pStyle w:val="FirstParagraph"/>
      </w:pPr>
      <w:r>
        <w:t xml:space="preserve">This analysis acknowledges and, where applicable, integrates the principles of the GHG Protocol\'s Land Sector and Removals (LSR) Standard v1.0, released on January 30, 2026, which becomes effective January 1, 2027. While specific land-use data for wdtonxinox was not provided, the methodology accounts for potential carbon removals through the End-of-Life phase\'s recycling credits, aligning with the LSR Standard\'s focus on CO2 removals.</w:t>
      </w:r>
    </w:p>
    <w:p>
      <w:pPr>
        <w:pStyle w:val="BodyText"/>
      </w:pPr>
      <w:r>
        <w:t xml:space="preserve">Furthermore, in accordance with the 2026 GHG Protocol Scope 3 requirements, this report aims for at least</w:t>
      </w:r>
      <w:r>
        <w:t xml:space="preserve"> </w:t>
      </w:r>
      <w:r>
        <w:rPr>
          <w:bCs/>
          <w:b/>
        </w:rPr>
        <w:t xml:space="preserve">95% coverage for Scope 3 reporting</w:t>
      </w:r>
      <w:r>
        <w:t xml:space="preserve">. All major upstream and downstream categories relevant to a product\'s lifecycle, including purchased goods and services (materials), transportation, product use, and end-of-life treatment, have been quantified. This comprehensive approach ensures that significant portions of the product\'s value chain emissions are captured, allowing for a robust and compliant assessment.</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identifies the following key emission hotspots for wdtonxinox:</w:t>
      </w:r>
    </w:p>
    <w:p>
      <w:pPr>
        <w:numPr>
          <w:ilvl w:val="0"/>
          <w:numId w:val="1013"/>
        </w:numPr>
        <w:pStyle w:val="Compact"/>
      </w:pPr>
      <w:r>
        <w:rPr>
          <w:bCs/>
          <w:b/>
        </w:rPr>
        <w:t xml:space="preserve">Use Phase (55.5% of total PCF):</w:t>
      </w:r>
      <w:r>
        <w:t xml:space="preserve"> </w:t>
      </w:r>
      <w:r>
        <w:t xml:space="preserve">The most significant contributor to the product\'s carbon footprint is the energy consumed during its 7-year lifespan. This highlights the importance of energy efficiency in product design and the shift towards renewable energy sources for consumers.</w:t>
      </w:r>
    </w:p>
    <w:p>
      <w:pPr>
        <w:numPr>
          <w:ilvl w:val="0"/>
          <w:numId w:val="1013"/>
        </w:numPr>
        <w:pStyle w:val="Compact"/>
      </w:pPr>
      <w:r>
        <w:rPr>
          <w:bCs/>
          <w:b/>
        </w:rPr>
        <w:t xml:space="preserve">Material Acquisition &amp; Processing (34.0% of total PCF):</w:t>
      </w:r>
      <w:r>
        <w:t xml:space="preserve"> </w:t>
      </w:r>
      <w:r>
        <w:t xml:space="preserve">The production of raw materials, particularly the Aluminum Casing and Circuit Board/Electronic Chips as per the BOM, represents a substantial portion of upstream emissions.</w:t>
      </w:r>
    </w:p>
    <w:bookmarkEnd w:id="38"/>
    <w:bookmarkStart w:id="39" w:name="data-reliability-limitations"/>
    <w:p>
      <w:pPr>
        <w:pStyle w:val="Heading3"/>
      </w:pPr>
      <w:r>
        <w:t xml:space="preserve">Data Reliability &amp; Limitations</w:t>
      </w:r>
    </w:p>
    <w:p>
      <w:pPr>
        <w:pStyle w:val="FirstParagraph"/>
      </w:pPr>
      <w:r>
        <w:t xml:space="preserve">This report provides a high-detail PCF analysis based on the parameters and illustrative values provided. In a real-world scenario, the accuracy of the PCF would be further enhanced by:</w:t>
      </w:r>
    </w:p>
    <w:p>
      <w:pPr>
        <w:numPr>
          <w:ilvl w:val="0"/>
          <w:numId w:val="1014"/>
        </w:numPr>
        <w:pStyle w:val="Compact"/>
      </w:pPr>
      <w:r>
        <w:t xml:space="preserve">Collecting primary data directly from suppliers for material emission factors, production energy consumption, and specific transport routes and modes.</w:t>
      </w:r>
    </w:p>
    <w:p>
      <w:pPr>
        <w:numPr>
          <w:ilvl w:val="0"/>
          <w:numId w:val="1014"/>
        </w:numPr>
        <w:pStyle w:val="Compact"/>
      </w:pPr>
      <w:r>
        <w:t xml:space="preserve">Utilizing country-specific and up-to-date electricity grid emission factors for all relevant regions (production and use).</w:t>
      </w:r>
    </w:p>
    <w:p>
      <w:pPr>
        <w:numPr>
          <w:ilvl w:val="0"/>
          <w:numId w:val="1014"/>
        </w:numPr>
        <w:pStyle w:val="Compact"/>
      </w:pPr>
      <w:r>
        <w:t xml:space="preserve">Detailed allocation for shared transport (e.g., last-mile delivery) based on volume, weight, or specific delivery logistics.</w:t>
      </w:r>
    </w:p>
    <w:p>
      <w:pPr>
        <w:numPr>
          <w:ilvl w:val="0"/>
          <w:numId w:val="1014"/>
        </w:numPr>
        <w:pStyle w:val="Compact"/>
      </w:pPr>
      <w:r>
        <w:t xml:space="preserve">Considering all relevant Scope 3 categories as per GHG Protocol guidance, including capital goods, waste generated in operations (if not covered by end-of-life), business travel, employee commuting, etc., to ensure full 95% coverage, quantifying any de minimis exclusions.</w:t>
      </w:r>
    </w:p>
    <w:p>
      <w:pPr>
        <w:numPr>
          <w:ilvl w:val="0"/>
          <w:numId w:val="1014"/>
        </w:numPr>
        <w:pStyle w:val="Compact"/>
      </w:pPr>
      <w:r>
        <w:t xml:space="preserve">Actual forest carbon accounting (not included in the current LSR Standard, but under future consideration) if relevant to the product\'s supply chain.</w:t>
      </w:r>
    </w:p>
    <w:bookmarkEnd w:id="39"/>
    <w:bookmarkStart w:id="40" w:name="recommendations-for-emission-reduction"/>
    <w:p>
      <w:pPr>
        <w:pStyle w:val="Heading3"/>
      </w:pPr>
      <w:r>
        <w:t xml:space="preserve">Recommendations for Emission Reduction</w:t>
      </w:r>
    </w:p>
    <w:p>
      <w:pPr>
        <w:pStyle w:val="FirstParagraph"/>
      </w:pPr>
      <w:r>
        <w:t xml:space="preserve">Based on this analysis, hmesspytve can focus on the following strategies to reduce the carbon footprint of wdtonxinox:</w:t>
      </w:r>
    </w:p>
    <w:p>
      <w:pPr>
        <w:numPr>
          <w:ilvl w:val="0"/>
          <w:numId w:val="1015"/>
        </w:numPr>
        <w:pStyle w:val="Compact"/>
      </w:pPr>
      <w:r>
        <w:rPr>
          <w:bCs/>
          <w:b/>
        </w:rPr>
        <w:t xml:space="preserve">Enhance Use Phase Efficiency:</w:t>
      </w:r>
      <w:r>
        <w:t xml:space="preserve"> </w:t>
      </w:r>
      <w:r>
        <w:t xml:space="preserve">Invest in R&amp;D to significantly reduce the product\'s energy consumption during its lifespan. Promote the use of renewable energy by end-users (e.g., through consumer education or smart product integration with renewable systems).</w:t>
      </w:r>
    </w:p>
    <w:p>
      <w:pPr>
        <w:numPr>
          <w:ilvl w:val="0"/>
          <w:numId w:val="1015"/>
        </w:numPr>
        <w:pStyle w:val="Compact"/>
      </w:pPr>
      <w:r>
        <w:rPr>
          <w:bCs/>
          <w:b/>
        </w:rPr>
        <w:t xml:space="preserve">Sustainable Material Sourcing:</w:t>
      </w:r>
      <w:r>
        <w:t xml:space="preserve"> </w:t>
      </w:r>
      <w:r>
        <w:t xml:space="preserve">Explore alternative, lower-carbon materials for the Aluminum Casing and electronic components. Prioritize suppliers with transparent, verified low-carbon production processes and higher recycled content.</w:t>
      </w:r>
    </w:p>
    <w:p>
      <w:pPr>
        <w:numPr>
          <w:ilvl w:val="0"/>
          <w:numId w:val="1015"/>
        </w:numPr>
        <w:pStyle w:val="Compact"/>
      </w:pPr>
      <w:r>
        <w:rPr>
          <w:bCs/>
          <w:b/>
        </w:rPr>
        <w:t xml:space="preserve">Circular Economy Integration:</w:t>
      </w:r>
      <w:r>
        <w:t xml:space="preserve"> </w:t>
      </w:r>
      <w:r>
        <w:t xml:space="preserve">Strengthen take-back schemes and expand partnerships with certified recycling facilities to maximize the recyclability and reuse of materials, further increasing avoided emissions at End-of-Life.</w:t>
      </w:r>
    </w:p>
    <w:p>
      <w:pPr>
        <w:numPr>
          <w:ilvl w:val="0"/>
          <w:numId w:val="1015"/>
        </w:numPr>
        <w:pStyle w:val="Compact"/>
      </w:pPr>
      <w:r>
        <w:rPr>
          <w:bCs/>
          <w:b/>
        </w:rPr>
        <w:t xml:space="preserve">Optimized Logistics:</w:t>
      </w:r>
      <w:r>
        <w:t xml:space="preserve"> </w:t>
      </w:r>
      <w:r>
        <w:t xml:space="preserve">Seek to optimize transport routes, consolidate shipments, and prioritize lower-emission transport modes where feasible, especially for long-haul journeys.</w:t>
      </w:r>
    </w:p>
    <w:p>
      <w:pPr>
        <w:numPr>
          <w:ilvl w:val="0"/>
          <w:numId w:val="1015"/>
        </w:numPr>
        <w:pStyle w:val="Compact"/>
      </w:pPr>
      <w:r>
        <w:rPr>
          <w:bCs/>
          <w:b/>
        </w:rPr>
        <w:t xml:space="preserve">Supply Chain Engagement:</w:t>
      </w:r>
      <w:r>
        <w:t xml:space="preserve"> </w:t>
      </w:r>
      <w:r>
        <w:t xml:space="preserve">Work closely with upstream suppliers to identify and reduce emissions within their operations, moving towards more primary data collection for Scope 3 accuracy.</w: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wdtonxinox</dc:title>
  <dc:creator/>
  <dc:description>Detailed Product Carbon Footprint (PCF) analysis report for wdtonxinox by hmesspytve, adhering to GHG Protocol.</dc:description>
  <dc:language>en</dc:language>
  <cp:keywords/>
  <dcterms:created xsi:type="dcterms:W3CDTF">2026-07-15T17:54:38Z</dcterms:created>
  <dcterms:modified xsi:type="dcterms:W3CDTF">2026-07-15T17:54:38Z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