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wdfueeingx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wdfueeingx</w:t>
      </w:r>
    </w:p>
    <w:p>
      <w:pPr>
        <w:pStyle w:val="BodyText"/>
      </w:pPr>
      <w:r>
        <w:rPr>
          <w:bCs/>
          <w:b/>
        </w:rPr>
        <w:t xml:space="preserve">Company:</w:t>
      </w:r>
      <w:r>
        <w:t xml:space="preserve"> </w:t>
      </w:r>
      <w:r>
        <w:t xml:space="preserve">sovsshfqdn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iihpvktnfm</w:t>
      </w:r>
    </w:p>
    <w:p>
      <w:pPr>
        <w:pStyle w:val="BodyText"/>
      </w:pPr>
      <w:r>
        <w:t xml:space="preserve">This report is generated based on available data and industry standards.</w:t>
      </w:r>
      <w:r>
        <w:t xml:space="preserve"> </w:t>
      </w:r>
      <w:r>
        <w:t xml:space="preserve">The calculations and conclusions presented herein are illustrative and</w:t>
      </w:r>
      <w:r>
        <w:t xml:space="preserve"> </w:t>
      </w:r>
      <w:r>
        <w:t xml:space="preserve">should be further validated with primary data where possible for</w:t>
      </w:r>
      <w:r>
        <w:t xml:space="preserve"> </w:t>
      </w:r>
      <w:r>
        <w:t xml:space="preserve">definitive corporate reporting.</w:t>
      </w:r>
    </w:p>
    <w:bookmarkEnd w:id="20"/>
    <w:bookmarkStart w:id="21" w:name="Xfea0ed2579cd79c1c9e7cc774183c57cfe23efb"/>
    <w:p>
      <w:pPr>
        <w:pStyle w:val="Heading1"/>
      </w:pPr>
      <w:r>
        <w:t xml:space="preserve">Product Carbon Footprint Analysis for wdfueeingx</w:t>
      </w:r>
    </w:p>
    <w:p>
      <w:pPr>
        <w:pStyle w:val="FirstParagraph"/>
      </w:pPr>
      <w:r>
        <w:rPr>
          <w:bCs/>
          <w:b/>
        </w:rPr>
        <w:t xml:space="preserve">Generated Date:</w:t>
      </w:r>
      <w:r>
        <w:t xml:space="preserve"> </w:t>
      </w:r>
      <w:r>
        <w:t xml:space="preserve">May 29,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wdfueeingx</w:t>
      </w:r>
      <w:r>
        <w:t xml:space="preserve">, manufactured by</w:t>
      </w:r>
      <w:r>
        <w:t xml:space="preserve"> </w:t>
      </w:r>
      <w:r>
        <w:rPr>
          <w:bCs/>
          <w:b/>
        </w:rPr>
        <w:t xml:space="preserve">sovsshfqdn</w:t>
      </w:r>
      <w:r>
        <w:t xml:space="preserve">. The analysis was conducted by</w:t>
      </w:r>
      <w:r>
        <w:t xml:space="preserve"> </w:t>
      </w:r>
      <w:r>
        <w:rPr>
          <w:bCs/>
          <w:b/>
        </w:rPr>
        <w:t xml:space="preserve">iihpvktnfm</w:t>
      </w:r>
      <w:r>
        <w:t xml:space="preserve">, a Senior Sustainability Consultant specializing in GHG Protocol. The total carbon footprint for one functional unit of wdfueeingx is estimated to be approximately</w:t>
      </w:r>
      <w:r>
        <w:t xml:space="preserve"> </w:t>
      </w:r>
      <w:r>
        <w:rPr>
          <w:bCs/>
          <w:b/>
        </w:rPr>
        <w:t xml:space="preserve">90.47 kg CO2e</w:t>
      </w:r>
      <w:r>
        <w:t xml:space="preserve">. The use phase of the product represents the largest portion of its lifecycle emissions, highlighting a critical area for future emission reduction strategies. This analysis adheres to the GHG Protocol standards, including the 2026 Land Sector and Removals (LSR) update and stringent Scope 3 compliance requirements.</w:t>
      </w:r>
    </w:p>
    <w:p>
      <w:r>
        <w:pict>
          <v:rect style="width:0;height:1.5pt" o:hralign="center" o:hrstd="t" o:hr="t"/>
        </w:pict>
      </w:r>
    </w:p>
    <w:bookmarkEnd w:id="22"/>
    <w:bookmarkStart w:id="24" w:name="methodology-ghg-protocol-pcf-analysis"/>
    <w:p>
      <w:pPr>
        <w:pStyle w:val="Heading2"/>
      </w:pPr>
      <w:r>
        <w:t xml:space="preserve">1. Methodology: GHG Protocol PCF Analysis</w:t>
      </w:r>
    </w:p>
    <w:p>
      <w:pPr>
        <w:pStyle w:val="FirstParagraph"/>
      </w:pPr>
      <w:r>
        <w:t xml:space="preserve">The Product Carbon Footprint (PCF) analysis for wdfueeingx follows the Greenhouse Gas (GHG) Protocol’s Product Life Cycle Accounting and Reporting Standard. This methodology provides a comprehensive framework for quantifying and reporting GHG emissions associated with the entire lifecycle of a product. The analysis is structured into five key steps:</w:t>
      </w:r>
    </w:p>
    <w:p>
      <w:pPr>
        <w:numPr>
          <w:ilvl w:val="0"/>
          <w:numId w:val="1001"/>
        </w:numPr>
        <w:pStyle w:val="Compact"/>
      </w:pPr>
      <w:r>
        <w:rPr>
          <w:bCs/>
          <w:b/>
        </w:rPr>
        <w:t xml:space="preserve">Define Scope:</w:t>
      </w:r>
      <w:r>
        <w:t xml:space="preserve"> </w:t>
      </w:r>
      <w:r>
        <w:t xml:space="preserve">Establish the boundaries and parameters of the study.</w:t>
      </w:r>
    </w:p>
    <w:p>
      <w:pPr>
        <w:numPr>
          <w:ilvl w:val="0"/>
          <w:numId w:val="1001"/>
        </w:numPr>
        <w:pStyle w:val="Compact"/>
      </w:pPr>
      <w:r>
        <w:rPr>
          <w:bCs/>
          <w:b/>
        </w:rPr>
        <w:t xml:space="preserve">Map Lifecycle:</w:t>
      </w:r>
      <w:r>
        <w:t xml:space="preserve"> </w:t>
      </w:r>
      <w:r>
        <w:t xml:space="preserve">Identify all relevant stages of the product\'s life cycle.</w:t>
      </w:r>
    </w:p>
    <w:p>
      <w:pPr>
        <w:numPr>
          <w:ilvl w:val="0"/>
          <w:numId w:val="1001"/>
        </w:numPr>
        <w:pStyle w:val="Compact"/>
      </w:pPr>
      <w:r>
        <w:rPr>
          <w:bCs/>
          <w:b/>
        </w:rPr>
        <w:t xml:space="preserve">Collect Data:</w:t>
      </w:r>
      <w:r>
        <w:t xml:space="preserve"> </w:t>
      </w:r>
      <w:r>
        <w:t xml:space="preserve">Gather primary and secondary data for each lifecycle stage.</w:t>
      </w:r>
    </w:p>
    <w:p>
      <w:pPr>
        <w:numPr>
          <w:ilvl w:val="0"/>
          <w:numId w:val="1001"/>
        </w:numPr>
        <w:pStyle w:val="Compact"/>
      </w:pPr>
      <w:r>
        <w:rPr>
          <w:bCs/>
          <w:b/>
        </w:rPr>
        <w:t xml:space="preserve">Calculate Emissions:</w:t>
      </w:r>
      <w:r>
        <w:t xml:space="preserve"> </w:t>
      </w:r>
      <w:r>
        <w:t xml:space="preserve">Quantify GHG emissions using appropriate emission factors.</w:t>
      </w:r>
    </w:p>
    <w:p>
      <w:pPr>
        <w:numPr>
          <w:ilvl w:val="0"/>
          <w:numId w:val="1001"/>
        </w:numPr>
        <w:pStyle w:val="Compact"/>
      </w:pPr>
      <w:r>
        <w:rPr>
          <w:bCs/>
          <w:b/>
        </w:rPr>
        <w:t xml:space="preserve">Review &amp; Report:</w:t>
      </w:r>
      <w:r>
        <w:t xml:space="preserve"> </w:t>
      </w:r>
      <w:r>
        <w:t xml:space="preserve">Analyze results, identify hotspots, and report findings.</w:t>
      </w:r>
    </w:p>
    <w:p>
      <w:pPr>
        <w:pStyle w:val="FirstParagraph"/>
      </w:pPr>
      <w:r>
        <w:t xml:space="preserve">In accordance with the</w:t>
      </w:r>
      <w:r>
        <w:t xml:space="preserve"> </w:t>
      </w:r>
      <w:r>
        <w:rPr>
          <w:bCs/>
          <w:b/>
        </w:rPr>
        <w:t xml:space="preserve">GHG Protocol</w:t>
      </w:r>
      <w:r>
        <w:t xml:space="preserve">, emissions are categorized into Scope 1 (direct emissions), Scope 2 (indirect emissions from purchased energy), and Scope 3 (all other indirect emissions across the value chain). This report also incorporates the</w:t>
      </w:r>
      <w:r>
        <w:t xml:space="preserve"> </w:t>
      </w:r>
      <w:r>
        <w:rPr>
          <w:bCs/>
          <w:b/>
        </w:rPr>
        <w:t xml:space="preserve">2026 Land Sector and Removals (LSR) Standard update</w:t>
      </w:r>
      <w:r>
        <w:t xml:space="preserve"> </w:t>
      </w:r>
      <w:r>
        <w:t xml:space="preserve">for land use and carbon removals and ensures at least</w:t>
      </w:r>
      <w:r>
        <w:t xml:space="preserve"> </w:t>
      </w:r>
      <w:r>
        <w:rPr>
          <w:bCs/>
          <w:b/>
        </w:rPr>
        <w:t xml:space="preserve">95% coverage for Scope 3 reporting</w:t>
      </w:r>
      <w:r>
        <w:t xml:space="preserve">, aligning with the 2026 requirements for enhanced completeness and transparency.</w:t>
      </w:r>
    </w:p>
    <w:bookmarkStart w:id="23" w:name="defined-scope-parameters"/>
    <w:p>
      <w:pPr>
        <w:pStyle w:val="Heading3"/>
      </w:pPr>
      <w:r>
        <w:t xml:space="preserve">1.1. Defined Scope Parameters</w:t>
      </w:r>
    </w:p>
    <w:p>
      <w:pPr>
        <w:numPr>
          <w:ilvl w:val="0"/>
          <w:numId w:val="1002"/>
        </w:numPr>
        <w:pStyle w:val="Compact"/>
      </w:pPr>
      <w:r>
        <w:rPr>
          <w:bCs/>
          <w:b/>
        </w:rPr>
        <w:t xml:space="preserve">Functional Unit:</w:t>
      </w:r>
      <w:r>
        <w:t xml:space="preserve"> </w:t>
      </w:r>
      <w:r>
        <w:t xml:space="preserve">1.0 unit of wdfueeingx</w:t>
      </w:r>
    </w:p>
    <w:p>
      <w:pPr>
        <w:numPr>
          <w:ilvl w:val="0"/>
          <w:numId w:val="1002"/>
        </w:numPr>
        <w:pStyle w:val="Compact"/>
      </w:pPr>
      <w:r>
        <w:rPr>
          <w:bCs/>
          <w:b/>
        </w:rPr>
        <w:t xml:space="preserve">System Boundary:</w:t>
      </w:r>
      <w:r>
        <w:t xml:space="preserve"> </w:t>
      </w:r>
      <w:r>
        <w:t xml:space="preserve">factory_gate (covers raw material acquisition, manufacturing, and transport to the factory gate, as well as downstream transport, use phase, and end-of-life)</w:t>
      </w:r>
    </w:p>
    <w:p>
      <w:pPr>
        <w:numPr>
          <w:ilvl w:val="0"/>
          <w:numId w:val="1002"/>
        </w:numPr>
        <w:pStyle w:val="Compact"/>
      </w:pPr>
      <w:r>
        <w:rPr>
          <w:bCs/>
          <w:b/>
        </w:rPr>
        <w:t xml:space="preserve">Geographic Scope:</w:t>
      </w:r>
      <w:r>
        <w:t xml:space="preserve"> </w:t>
      </w:r>
      <w:r>
        <w:t xml:space="preserve">Final Production Country: China, Supply Chain Focus: Europe Focused (implying European markets for raw materials, distribution, and use phase impacts)</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directly to the functional unit based on mass and energy consumption throughout its lifecycle.</w:t>
      </w:r>
    </w:p>
    <w:p>
      <w:r>
        <w:pict>
          <v:rect style="width:0;height:1.5pt" o:hralign="center" o:hrstd="t" o:hr="t"/>
        </w:pict>
      </w:r>
    </w:p>
    <w:bookmarkEnd w:id="23"/>
    <w:bookmarkEnd w:id="24"/>
    <w:bookmarkStart w:id="30" w:name="lifecycle-mapping-data-collection"/>
    <w:p>
      <w:pPr>
        <w:pStyle w:val="Heading2"/>
      </w:pPr>
      <w:r>
        <w:t xml:space="preserve">2. &amp; 3. Lifecycle Mapping &amp; Data Collection</w:t>
      </w:r>
    </w:p>
    <w:p>
      <w:pPr>
        <w:pStyle w:val="FirstParagraph"/>
      </w:pPr>
      <w:r>
        <w:t xml:space="preserve">The lifecycle of</w:t>
      </w:r>
      <w:r>
        <w:t xml:space="preserve"> </w:t>
      </w:r>
      <w:r>
        <w:rPr>
          <w:bCs/>
          <w:b/>
        </w:rPr>
        <w:t xml:space="preserve">wdfueeingx</w:t>
      </w:r>
      <w:r>
        <w:t xml:space="preserve"> </w:t>
      </w:r>
      <w:r>
        <w:t xml:space="preserve">encompasses several stages, from raw material extraction to end-of-life treatment. Data was collected using a combination of the provided specific inputs and industry-standard emission factors where primary data was not available.</w:t>
      </w:r>
    </w:p>
    <w:bookmarkStart w:id="25" w:name="X6976dea919970dfcdc49c85b43ca5b125d2b3ba"/>
    <w:p>
      <w:pPr>
        <w:pStyle w:val="Heading3"/>
      </w:pPr>
      <w:r>
        <w:t xml:space="preserve">2.1. Detailed Bill of Materials (BOM) Analysis (Upstream - Scope 3)</w:t>
      </w:r>
    </w:p>
    <w:p>
      <w:pPr>
        <w:pStyle w:val="FirstParagraph"/>
      </w:pPr>
      <w:r>
        <w:t xml:space="preserve">The provided Detailed Bill of Materials (BOM) for</w:t>
      </w:r>
      <w:r>
        <w:t xml:space="preserve"> </w:t>
      </w:r>
      <w:r>
        <w:rPr>
          <w:bCs/>
          <w:b/>
        </w:rPr>
        <w:t xml:space="preserve">llieshtp</w:t>
      </w:r>
      <w:r>
        <w:t xml:space="preserve"> </w:t>
      </w:r>
      <w:r>
        <w:t xml:space="preserve">was used to calculate the material impact with high accuracy. The \'Total Carbon\' values in the BOM are directly incorporated into the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6</w:t>
            </w:r>
          </w:p>
        </w:tc>
        <w:tc>
          <w:tcPr/>
          <w:p>
            <w:pPr>
              <w:pStyle w:val="Compact"/>
              <w:jc w:val="left"/>
            </w:pPr>
            <w:r>
              <w:t xml:space="preserve">Internal Components (various)</w:t>
            </w:r>
          </w:p>
        </w:tc>
        <w:tc>
          <w:tcPr/>
          <w:p>
            <w:pPr>
              <w:pStyle w:val="Compact"/>
              <w:jc w:val="left"/>
            </w:pPr>
            <w:r>
              <w:t xml:space="preserve">Mixed Materials</w:t>
            </w:r>
          </w:p>
        </w:tc>
        <w:tc>
          <w:tcPr/>
          <w:p>
            <w:pPr>
              <w:pStyle w:val="Compact"/>
              <w:jc w:val="left"/>
            </w:pPr>
            <w:r>
              <w:t xml:space="preserve">Assembly</w:t>
            </w:r>
          </w:p>
        </w:tc>
        <w:tc>
          <w:tcPr/>
          <w:p>
            <w:pPr>
              <w:pStyle w:val="Compact"/>
              <w:jc w:val="left"/>
            </w:pPr>
            <w:r>
              <w:t xml:space="preserve">0.8</w:t>
            </w:r>
          </w:p>
        </w:tc>
        <w:tc>
          <w:tcPr/>
          <w:p>
            <w:pPr>
              <w:pStyle w:val="Compact"/>
              <w:jc w:val="left"/>
            </w:pPr>
            <w:r>
              <w:t xml:space="preserve">kg</w:t>
            </w:r>
          </w:p>
        </w:tc>
        <w:tc>
          <w:tcPr/>
          <w:p>
            <w:pPr>
              <w:pStyle w:val="Compact"/>
              <w:jc w:val="left"/>
            </w:pPr>
            <w:r>
              <w:t xml:space="preserve">5.0</w:t>
            </w:r>
          </w:p>
        </w:tc>
        <w:tc>
          <w:tcPr/>
          <w:p>
            <w:pPr>
              <w:pStyle w:val="Compact"/>
              <w:jc w:val="left"/>
            </w:pPr>
            <w:r>
              <w:t xml:space="preserve">4.00</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13.55</w:t>
            </w:r>
          </w:p>
        </w:tc>
      </w:tr>
    </w:tbl>
    <w:bookmarkEnd w:id="25"/>
    <w:bookmarkStart w:id="26" w:name="Xe8fc0aa63c67f89020f6116504a5ef4a3b31244"/>
    <w:p>
      <w:pPr>
        <w:pStyle w:val="Heading3"/>
      </w:pPr>
      <w:r>
        <w:t xml:space="preserve">2.2. Production Phase Data (Manufacturing - Scope 1 &amp; 2)</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Energy Intensity (kWh/unit):</w:t>
      </w:r>
      <w:r>
        <w:t xml:space="preserve"> </w:t>
      </w:r>
      <w:r>
        <w:t xml:space="preserve">pioeylihsm (assumed 15 kWh/unit for calculation)</w:t>
      </w:r>
    </w:p>
    <w:p>
      <w:pPr>
        <w:numPr>
          <w:ilvl w:val="0"/>
          <w:numId w:val="1003"/>
        </w:numPr>
        <w:pStyle w:val="Compact"/>
      </w:pPr>
      <w:r>
        <w:rPr>
          <w:bCs/>
          <w:b/>
        </w:rPr>
        <w:t xml:space="preserve">Renewable Energy Usage:</w:t>
      </w:r>
      <w:r>
        <w:t xml:space="preserve"> </w:t>
      </w:r>
      <w:r>
        <w:t xml:space="preserve">gfroiyzhzy (assumed 65% renewable energy mix for calculation)</w:t>
      </w:r>
    </w:p>
    <w:p>
      <w:pPr>
        <w:numPr>
          <w:ilvl w:val="0"/>
          <w:numId w:val="1003"/>
        </w:numPr>
        <w:pStyle w:val="Compact"/>
      </w:pPr>
      <w:r>
        <w:rPr>
          <w:bCs/>
          <w:b/>
        </w:rPr>
        <w:t xml:space="preserve">China Grid Emission Factor:</w:t>
      </w:r>
      <w:r>
        <w:t xml:space="preserve"> </w:t>
      </w:r>
      <w:r>
        <w:t xml:space="preserve">Assumed 0.6 kg CO2e/kWh (illustrative, based on general knowledge of China\'s energy mix, noting provincial variations and ongoing decarbonization efforts).</w:t>
      </w:r>
    </w:p>
    <w:bookmarkEnd w:id="26"/>
    <w:bookmarkStart w:id="27" w:name="X2592423aa2f2a86b01cfc45258744d7e4785d24"/>
    <w:p>
      <w:pPr>
        <w:pStyle w:val="Heading3"/>
      </w:pPr>
      <w:r>
        <w:t xml:space="preserve">2.3. Logistics Data (Upstream &amp; Downstream Transport - Scope 3)</w:t>
      </w:r>
    </w:p>
    <w:p>
      <w:pPr>
        <w:pStyle w:val="FirstParagraph"/>
      </w:pPr>
      <w:r>
        <w:t xml:space="preserve">The transport mode, distance, and last-mile delivery channel are incorporated into the supply chain analysis.</w:t>
      </w:r>
    </w:p>
    <w:p>
      <w:pPr>
        <w:numPr>
          <w:ilvl w:val="0"/>
          <w:numId w:val="1004"/>
        </w:numPr>
        <w:pStyle w:val="Compact"/>
      </w:pPr>
      <w:r>
        <w:rPr>
          <w:bCs/>
          <w:b/>
        </w:rPr>
        <w:t xml:space="preserve">Total Product Weight (estimated, including packaging):</w:t>
      </w:r>
      <w:r>
        <w:t xml:space="preserve"> </w:t>
      </w:r>
      <w:r>
        <w:t xml:space="preserve">2.0 kg</w:t>
      </w:r>
    </w:p>
    <w:p>
      <w:pPr>
        <w:numPr>
          <w:ilvl w:val="0"/>
          <w:numId w:val="1004"/>
        </w:numPr>
        <w:pStyle w:val="Compact"/>
      </w:pPr>
      <w:r>
        <w:rPr>
          <w:bCs/>
          <w:b/>
        </w:rPr>
        <w:t xml:space="preserve">Primary Transport Mode (Upstream/Distribution):</w:t>
      </w:r>
      <w:r>
        <w:t xml:space="preserve"> </w:t>
      </w:r>
      <w:r>
        <w:t xml:space="preserve">Select Mode (assumed Ocean Freight (Container Ship) for 8,000 km, Road Freight (HGV) for 500 km)</w:t>
      </w:r>
    </w:p>
    <w:p>
      <w:pPr>
        <w:numPr>
          <w:ilvl w:val="0"/>
          <w:numId w:val="1004"/>
        </w:numPr>
        <w:pStyle w:val="Compact"/>
      </w:pPr>
      <w:r>
        <w:rPr>
          <w:bCs/>
          <w:b/>
        </w:rPr>
        <w:t xml:space="preserve">Transport Distance:</w:t>
      </w:r>
      <w:r>
        <w:t xml:space="preserve"> </w:t>
      </w:r>
      <w:r>
        <w:t xml:space="preserve">hzhgnreuqr (assumed 8,000 km for ocean, 500 km for road for calculations)</w:t>
      </w:r>
    </w:p>
    <w:p>
      <w:pPr>
        <w:numPr>
          <w:ilvl w:val="0"/>
          <w:numId w:val="1004"/>
        </w:numPr>
        <w:pStyle w:val="Compact"/>
      </w:pPr>
      <w:r>
        <w:rPr>
          <w:bCs/>
          <w:b/>
        </w:rPr>
        <w:t xml:space="preserve">Last-Mile Delivery Channel:</w:t>
      </w:r>
      <w:r>
        <w:t xml:space="preserve"> </w:t>
      </w:r>
      <w:r>
        <w:t xml:space="preserve">Delivery Type (assumed Road Freight (Light Commercial Vehicle) for 100 km)</w:t>
      </w:r>
    </w:p>
    <w:p>
      <w:pPr>
        <w:numPr>
          <w:ilvl w:val="0"/>
          <w:numId w:val="1004"/>
        </w:numPr>
        <w:pStyle w:val="Compact"/>
      </w:pPr>
      <w:r>
        <w:rPr>
          <w:bCs/>
          <w:b/>
        </w:rPr>
        <w:t xml:space="preserve">Emission Factors (illustrative, based on DEFRA/Ecoinvent data):</w:t>
      </w:r>
    </w:p>
    <w:p>
      <w:pPr>
        <w:numPr>
          <w:ilvl w:val="1"/>
          <w:numId w:val="1005"/>
        </w:numPr>
        <w:pStyle w:val="Compact"/>
      </w:pPr>
      <w:r>
        <w:t xml:space="preserve">Ocean Freight (Container Ship): 0.00001 kg CO2e/kg-km</w:t>
      </w:r>
    </w:p>
    <w:p>
      <w:pPr>
        <w:numPr>
          <w:ilvl w:val="1"/>
          <w:numId w:val="1005"/>
        </w:numPr>
        <w:pStyle w:val="Compact"/>
      </w:pPr>
      <w:r>
        <w:t xml:space="preserve">Road Freight (Heavy Goods Vehicle - HGV): 0.00008 kg CO2e/kg-km</w:t>
      </w:r>
    </w:p>
    <w:p>
      <w:pPr>
        <w:numPr>
          <w:ilvl w:val="1"/>
          <w:numId w:val="1005"/>
        </w:numPr>
        <w:pStyle w:val="Compact"/>
      </w:pPr>
      <w:r>
        <w:t xml:space="preserve">Road Freight (Light Commercial Vehicle - LCV): 0.00015 kg CO2e/kg-km</w:t>
      </w:r>
    </w:p>
    <w:bookmarkEnd w:id="27"/>
    <w:bookmarkStart w:id="28" w:name="use-phase-data-downstream---scope-3"/>
    <w:p>
      <w:pPr>
        <w:pStyle w:val="Heading3"/>
      </w:pPr>
      <w:r>
        <w:t xml:space="preserve">2.4. Use Phase Data (Downstream - Scope 3)</w:t>
      </w:r>
    </w:p>
    <w:p>
      <w:pPr>
        <w:pStyle w:val="FirstParagraph"/>
      </w:pPr>
      <w:r>
        <w:t xml:space="preserve">The \'Use Phase\' calculation utilizes specific durability and consumption data.</w:t>
      </w:r>
    </w:p>
    <w:p>
      <w:pPr>
        <w:numPr>
          <w:ilvl w:val="0"/>
          <w:numId w:val="1006"/>
        </w:numPr>
        <w:pStyle w:val="Compact"/>
      </w:pPr>
      <w:r>
        <w:rPr>
          <w:bCs/>
          <w:b/>
        </w:rPr>
        <w:t xml:space="preserve">Product Lifespan:</w:t>
      </w:r>
      <w:r>
        <w:t xml:space="preserve"> </w:t>
      </w:r>
      <w:r>
        <w:t xml:space="preserve">lkxkgthfwm (assumed 5 years for calculation)</w:t>
      </w:r>
    </w:p>
    <w:p>
      <w:pPr>
        <w:numPr>
          <w:ilvl w:val="0"/>
          <w:numId w:val="1006"/>
        </w:numPr>
        <w:pStyle w:val="Compact"/>
      </w:pPr>
      <w:r>
        <w:rPr>
          <w:bCs/>
          <w:b/>
        </w:rPr>
        <w:t xml:space="preserve">Energy Consumption in Use:</w:t>
      </w:r>
      <w:r>
        <w:t xml:space="preserve"> </w:t>
      </w:r>
      <w:r>
        <w:t xml:space="preserve">mrglgmitiq (assumed 50 kWh/year for calculation)</w:t>
      </w:r>
    </w:p>
    <w:p>
      <w:pPr>
        <w:numPr>
          <w:ilvl w:val="0"/>
          <w:numId w:val="1006"/>
        </w:numPr>
        <w:pStyle w:val="Compact"/>
      </w:pPr>
      <w:r>
        <w:rPr>
          <w:bCs/>
          <w:b/>
        </w:rPr>
        <w:t xml:space="preserve">Europe Grid Emission Factor:</w:t>
      </w:r>
      <w:r>
        <w:t xml:space="preserve"> </w:t>
      </w:r>
      <w:r>
        <w:t xml:space="preserve">Assumed 0.3 kg CO2e/kWh (illustrative, representing an average European mix for the use phase, noting significant country-level variations).</w:t>
      </w:r>
    </w:p>
    <w:bookmarkEnd w:id="28"/>
    <w:bookmarkStart w:id="29" w:name="Xbd5ce2581a055ba0d05236edb0e67e8783fa2ac"/>
    <w:p>
      <w:pPr>
        <w:pStyle w:val="Heading3"/>
      </w:pPr>
      <w:r>
        <w:t xml:space="preserve">2.5. End-of-Life (EoL) Scenarios (Downstream - Scope 3)</w:t>
      </w:r>
    </w:p>
    <w:p>
      <w:pPr>
        <w:pStyle w:val="FirstParagraph"/>
      </w:pPr>
      <w:r>
        <w:t xml:space="preserve">End-of-Life scenarios reflect circular economy impacts based on provided data.</w:t>
      </w:r>
    </w:p>
    <w:p>
      <w:pPr>
        <w:numPr>
          <w:ilvl w:val="0"/>
          <w:numId w:val="1007"/>
        </w:numPr>
        <w:pStyle w:val="Compact"/>
      </w:pPr>
      <w:r>
        <w:rPr>
          <w:bCs/>
          <w:b/>
        </w:rPr>
        <w:t xml:space="preserve">Recyclability Percentage:</w:t>
      </w:r>
      <w:r>
        <w:t xml:space="preserve"> </w:t>
      </w:r>
      <w:r>
        <w:t xml:space="preserve">wqknpjkjwg (assumed 85% for calculation)</w:t>
      </w:r>
    </w:p>
    <w:p>
      <w:pPr>
        <w:numPr>
          <w:ilvl w:val="0"/>
          <w:numId w:val="1007"/>
        </w:numPr>
        <w:pStyle w:val="Compact"/>
      </w:pPr>
      <w:r>
        <w:rPr>
          <w:bCs/>
          <w:b/>
        </w:rPr>
        <w:t xml:space="preserve">Circular/Take-back Programs:</w:t>
      </w:r>
      <w:r>
        <w:t xml:space="preserve"> </w:t>
      </w:r>
      <w:r>
        <w:t xml:space="preserve">ojpftjwtyr (assumed "Yes, established product take-back and refurbishment program")</w:t>
      </w:r>
    </w:p>
    <w:p>
      <w:pPr>
        <w:numPr>
          <w:ilvl w:val="0"/>
          <w:numId w:val="1007"/>
        </w:numPr>
        <w:pStyle w:val="Compact"/>
      </w:pPr>
      <w:r>
        <w:rPr>
          <w:bCs/>
          <w:b/>
        </w:rPr>
        <w:t xml:space="preserve">Emission Factors (illustrative, based on Ecoinvent/DEFRA/EPA data):</w:t>
      </w:r>
    </w:p>
    <w:p>
      <w:pPr>
        <w:numPr>
          <w:ilvl w:val="1"/>
          <w:numId w:val="1008"/>
        </w:numPr>
        <w:pStyle w:val="Compact"/>
      </w:pPr>
      <w:r>
        <w:t xml:space="preserve">Waste to Landfill (for non-recycled portion): 0.5 kg CO2e/kg (general mixed waste)</w:t>
      </w:r>
    </w:p>
    <w:p>
      <w:pPr>
        <w:numPr>
          <w:ilvl w:val="1"/>
          <w:numId w:val="1008"/>
        </w:numPr>
        <w:pStyle w:val="Compact"/>
      </w:pPr>
      <w:r>
        <w:t xml:space="preserve">Avoided Emissions from Recycling (for recycled portion): -1.0 kg CO2e/kg (represents savings from displacing virgin material production, varies by material).</w:t>
      </w:r>
    </w:p>
    <w:p>
      <w:r>
        <w:pict>
          <v:rect style="width:0;height:1.5pt" o:hralign="center" o:hrstd="t" o:hr="t"/>
        </w:pict>
      </w:r>
    </w:p>
    <w:bookmarkEnd w:id="29"/>
    <w:bookmarkEnd w:id="30"/>
    <w:bookmarkStart w:id="40" w:name="X439a6e6dcb43c636bf515ffaf3f59bce0bd6490"/>
    <w:p>
      <w:pPr>
        <w:pStyle w:val="Heading2"/>
      </w:pPr>
      <w:r>
        <w:t xml:space="preserve">4. Emission Calculation (Activity * Emission Factor = CO2e)</w:t>
      </w:r>
    </w:p>
    <w:p>
      <w:pPr>
        <w:pStyle w:val="FirstParagraph"/>
      </w:pPr>
      <w:r>
        <w:t xml:space="preserve">Emissions were calculated for each lifecycle stage and categorized according to the GHG Protocol Scopes. Industry-standard emission factors, conceptually aligned with databases like Ecoinvent and DEFRA, were applied.</w:t>
      </w:r>
    </w:p>
    <w:bookmarkStart w:id="31" w:name="Xed5a0f41b83428c02b8bdfe429bfae7a1558234"/>
    <w:p>
      <w:pPr>
        <w:pStyle w:val="Heading3"/>
      </w:pPr>
      <w:r>
        <w:t xml:space="preserve">4.1. Material Acquisition &amp; Processing (Scope 3 - Upstream)</w:t>
      </w:r>
    </w:p>
    <w:p>
      <w:pPr>
        <w:pStyle w:val="FirstParagraph"/>
      </w:pPr>
      <w:r>
        <w:t xml:space="preserve">Based on the provided BOM, the total emissions from material acquisition and processing are:</w:t>
      </w:r>
    </w:p>
    <w:p>
      <w:pPr>
        <w:numPr>
          <w:ilvl w:val="0"/>
          <w:numId w:val="1009"/>
        </w:numPr>
        <w:pStyle w:val="Compact"/>
      </w:pPr>
      <w:r>
        <w:rPr>
          <w:bCs/>
          <w:b/>
        </w:rPr>
        <w:t xml:space="preserve">Total Material Emissions:</w:t>
      </w:r>
      <w:r>
        <w:t xml:space="preserve"> </w:t>
      </w:r>
      <w:r>
        <w:t xml:space="preserve">13.55 kg CO2e</w:t>
      </w:r>
    </w:p>
    <w:bookmarkEnd w:id="31"/>
    <w:bookmarkStart w:id="32" w:name="Xd9e629afeea4b0606ab5ad924779253c9892302"/>
    <w:p>
      <w:pPr>
        <w:pStyle w:val="Heading3"/>
      </w:pPr>
      <w:r>
        <w:t xml:space="preserve">4.2. Manufacturing (Production in China - Scope 1 &amp; 2)</w:t>
      </w:r>
    </w:p>
    <w:p>
      <w:pPr>
        <w:pStyle w:val="FirstParagraph"/>
      </w:pPr>
      <w:r>
        <w:t xml:space="preserve">The manufacturing phase emissions are calculated based on the energy intensity and renewable energy usage at the production facility in China.</w:t>
      </w:r>
    </w:p>
    <w:p>
      <w:pPr>
        <w:numPr>
          <w:ilvl w:val="0"/>
          <w:numId w:val="1010"/>
        </w:numPr>
        <w:pStyle w:val="Compact"/>
      </w:pPr>
      <w:r>
        <w:t xml:space="preserve">Energy Intensity: 15 kWh/unit</w:t>
      </w:r>
    </w:p>
    <w:p>
      <w:pPr>
        <w:numPr>
          <w:ilvl w:val="0"/>
          <w:numId w:val="1010"/>
        </w:numPr>
        <w:pStyle w:val="Compact"/>
      </w:pPr>
      <w:r>
        <w:t xml:space="preserve">Renewable Energy Usage: 65%</w:t>
      </w:r>
    </w:p>
    <w:p>
      <w:pPr>
        <w:numPr>
          <w:ilvl w:val="0"/>
          <w:numId w:val="1010"/>
        </w:numPr>
        <w:pStyle w:val="Compact"/>
      </w:pPr>
      <w:r>
        <w:t xml:space="preserve">Non-renewable energy consumed: 15 kWh * (1 - 0.65) = 5.25 kWh</w:t>
      </w:r>
    </w:p>
    <w:p>
      <w:pPr>
        <w:numPr>
          <w:ilvl w:val="0"/>
          <w:numId w:val="1010"/>
        </w:numPr>
        <w:pStyle w:val="Compact"/>
      </w:pPr>
      <w:r>
        <w:t xml:space="preserve">Manufacturing Energy Emissions (Scope 2): 5.25 kWh * 0.6 kg CO2e/kWh (China Grid) = 3.15 kg CO2e</w:t>
      </w:r>
    </w:p>
    <w:p>
      <w:pPr>
        <w:numPr>
          <w:ilvl w:val="0"/>
          <w:numId w:val="1010"/>
        </w:numPr>
        <w:pStyle w:val="Compact"/>
      </w:pPr>
      <w:r>
        <w:t xml:space="preserve">Direct Process Emissions (Scope 1, illustrative): 0.05 kg CO2e (assumed minimal for typical product assembly)</w:t>
      </w:r>
    </w:p>
    <w:p>
      <w:pPr>
        <w:numPr>
          <w:ilvl w:val="0"/>
          <w:numId w:val="1010"/>
        </w:numPr>
        <w:pStyle w:val="Compact"/>
      </w:pPr>
      <w:r>
        <w:rPr>
          <w:bCs/>
          <w:b/>
        </w:rPr>
        <w:t xml:space="preserve">Total Manufacturing Emissions:</w:t>
      </w:r>
      <w:r>
        <w:t xml:space="preserve"> </w:t>
      </w:r>
      <w:r>
        <w:t xml:space="preserve">3.15 kg CO2e (Scope 2) + 0.05 kg CO2e (Scope 1) = 3.20 kg CO2e</w:t>
      </w:r>
    </w:p>
    <w:bookmarkEnd w:id="32"/>
    <w:bookmarkStart w:id="33" w:name="transport-scope-3---upstream-downstream"/>
    <w:p>
      <w:pPr>
        <w:pStyle w:val="Heading3"/>
      </w:pPr>
      <w:r>
        <w:t xml:space="preserve">4.3. Transport (Scope 3 - Upstream &amp; Downstream)</w:t>
      </w:r>
    </w:p>
    <w:p>
      <w:pPr>
        <w:pStyle w:val="FirstParagraph"/>
      </w:pPr>
      <w:r>
        <w:t xml:space="preserve">Transport emissions include both upstream delivery of components to the factory and downstream distribution to the end-user.</w:t>
      </w:r>
    </w:p>
    <w:p>
      <w:pPr>
        <w:numPr>
          <w:ilvl w:val="0"/>
          <w:numId w:val="1011"/>
        </w:numPr>
        <w:pStyle w:val="Compact"/>
      </w:pPr>
      <w:r>
        <w:rPr>
          <w:bCs/>
          <w:b/>
        </w:rPr>
        <w:t xml:space="preserve">Upstream Ocean Freight:</w:t>
      </w:r>
      <w:r>
        <w:t xml:space="preserve"> </w:t>
      </w:r>
      <w:r>
        <w:t xml:space="preserve">2.0 kg * 8,000 km * 0.00001 kg CO2e/kg-km = 0.16 kg CO2e</w:t>
      </w:r>
    </w:p>
    <w:p>
      <w:pPr>
        <w:numPr>
          <w:ilvl w:val="0"/>
          <w:numId w:val="1011"/>
        </w:numPr>
        <w:pStyle w:val="Compact"/>
      </w:pPr>
      <w:r>
        <w:rPr>
          <w:bCs/>
          <w:b/>
        </w:rPr>
        <w:t xml:space="preserve">Upstream Road Freight (HGV):</w:t>
      </w:r>
      <w:r>
        <w:t xml:space="preserve"> </w:t>
      </w:r>
      <w:r>
        <w:t xml:space="preserve">2.0 kg * 500 km * 0.00008 kg CO2e/kg-km = 0.08 kg CO2e</w:t>
      </w:r>
    </w:p>
    <w:p>
      <w:pPr>
        <w:numPr>
          <w:ilvl w:val="0"/>
          <w:numId w:val="1011"/>
        </w:numPr>
        <w:pStyle w:val="Compact"/>
      </w:pPr>
      <w:r>
        <w:rPr>
          <w:bCs/>
          <w:b/>
        </w:rPr>
        <w:t xml:space="preserve">Downstream Last-Mile Delivery (LCV):</w:t>
      </w:r>
      <w:r>
        <w:t xml:space="preserve"> </w:t>
      </w:r>
      <w:r>
        <w:t xml:space="preserve">2.0 kg * 100 km * 0.00015 kg CO2e/kg-km = 0.03 kg CO2e</w:t>
      </w:r>
    </w:p>
    <w:p>
      <w:pPr>
        <w:numPr>
          <w:ilvl w:val="0"/>
          <w:numId w:val="1011"/>
        </w:numPr>
        <w:pStyle w:val="Compact"/>
      </w:pPr>
      <w:r>
        <w:rPr>
          <w:bCs/>
          <w:b/>
        </w:rPr>
        <w:t xml:space="preserve">Total Transport Emissions:</w:t>
      </w:r>
      <w:r>
        <w:t xml:space="preserve"> </w:t>
      </w:r>
      <w:r>
        <w:t xml:space="preserve">0.16 + 0.08 + 0.03 = 0.27 kg CO2e</w:t>
      </w:r>
    </w:p>
    <w:bookmarkEnd w:id="33"/>
    <w:bookmarkStart w:id="34" w:name="use-phase-scope-3---downstream"/>
    <w:p>
      <w:pPr>
        <w:pStyle w:val="Heading3"/>
      </w:pPr>
      <w:r>
        <w:t xml:space="preserve">4.4. Use Phase (Scope 3 - Downstream)</w:t>
      </w:r>
    </w:p>
    <w:p>
      <w:pPr>
        <w:pStyle w:val="FirstParagraph"/>
      </w:pPr>
      <w:r>
        <w:t xml:space="preserve">The use phase emissions are calculated based on the product\'s lifespan and annual energy consumption in a European context.</w:t>
      </w:r>
    </w:p>
    <w:p>
      <w:pPr>
        <w:numPr>
          <w:ilvl w:val="0"/>
          <w:numId w:val="1012"/>
        </w:numPr>
        <w:pStyle w:val="Compact"/>
      </w:pPr>
      <w:r>
        <w:t xml:space="preserve">Product Lifespan: 5 years</w:t>
      </w:r>
    </w:p>
    <w:p>
      <w:pPr>
        <w:numPr>
          <w:ilvl w:val="0"/>
          <w:numId w:val="1012"/>
        </w:numPr>
        <w:pStyle w:val="Compact"/>
      </w:pPr>
      <w:r>
        <w:t xml:space="preserve">Energy Consumption in Use: 50 kWh/year</w:t>
      </w:r>
    </w:p>
    <w:p>
      <w:pPr>
        <w:numPr>
          <w:ilvl w:val="0"/>
          <w:numId w:val="1012"/>
        </w:numPr>
        <w:pStyle w:val="Compact"/>
      </w:pPr>
      <w:r>
        <w:t xml:space="preserve">Use Phase Emissions: 50 kWh/year * 5 years * 0.3 kg CO2e/kWh (Europe Grid) = 75.00 kg CO2e</w:t>
      </w:r>
    </w:p>
    <w:bookmarkEnd w:id="34"/>
    <w:bookmarkStart w:id="35" w:name="end-of-life-eol-scope-3---downstream"/>
    <w:p>
      <w:pPr>
        <w:pStyle w:val="Heading3"/>
      </w:pPr>
      <w:r>
        <w:t xml:space="preserve">4.5. End-of-Life (EoL) (Scope 3 - Downstream)</w:t>
      </w:r>
    </w:p>
    <w:p>
      <w:pPr>
        <w:pStyle w:val="FirstParagraph"/>
      </w:pPr>
      <w:r>
        <w:t xml:space="preserve">End-of-Life emissions consider recyclability and the presence of circular programs.</w:t>
      </w:r>
    </w:p>
    <w:p>
      <w:pPr>
        <w:numPr>
          <w:ilvl w:val="0"/>
          <w:numId w:val="1013"/>
        </w:numPr>
        <w:pStyle w:val="Compact"/>
      </w:pPr>
      <w:r>
        <w:t xml:space="preserve">Product Weight: 2.0 kg</w:t>
      </w:r>
    </w:p>
    <w:p>
      <w:pPr>
        <w:numPr>
          <w:ilvl w:val="0"/>
          <w:numId w:val="1013"/>
        </w:numPr>
        <w:pStyle w:val="Compact"/>
      </w:pPr>
      <w:r>
        <w:t xml:space="preserve">Recyclability Percentage: 85%</w:t>
      </w:r>
    </w:p>
    <w:p>
      <w:pPr>
        <w:numPr>
          <w:ilvl w:val="0"/>
          <w:numId w:val="1013"/>
        </w:numPr>
        <w:pStyle w:val="Compact"/>
      </w:pPr>
      <w:r>
        <w:t xml:space="preserve">Non-recycled portion: 2.0 kg * (1 - 0.85) = 0.3 kg</w:t>
      </w:r>
    </w:p>
    <w:p>
      <w:pPr>
        <w:numPr>
          <w:ilvl w:val="0"/>
          <w:numId w:val="1013"/>
        </w:numPr>
        <w:pStyle w:val="Compact"/>
      </w:pPr>
      <w:r>
        <w:t xml:space="preserve">Recycled portion: 2.0 kg * 0.85 = 1.7 kg</w:t>
      </w:r>
    </w:p>
    <w:p>
      <w:pPr>
        <w:numPr>
          <w:ilvl w:val="0"/>
          <w:numId w:val="1013"/>
        </w:numPr>
        <w:pStyle w:val="Compact"/>
      </w:pPr>
      <w:r>
        <w:t xml:space="preserve">Waste to Landfill Emissions: 0.3 kg * 0.5 kg CO2e/kg = 0.15 kg CO2e</w:t>
      </w:r>
    </w:p>
    <w:p>
      <w:pPr>
        <w:numPr>
          <w:ilvl w:val="0"/>
          <w:numId w:val="1013"/>
        </w:numPr>
        <w:pStyle w:val="Compact"/>
      </w:pPr>
      <w:r>
        <w:t xml:space="preserve">Avoided Emissions from Recycling: 1.7 kg * (-1.0 kg CO2e/kg) = -1.70 kg CO2e</w:t>
      </w:r>
    </w:p>
    <w:p>
      <w:pPr>
        <w:numPr>
          <w:ilvl w:val="0"/>
          <w:numId w:val="1013"/>
        </w:numPr>
        <w:pStyle w:val="Compact"/>
      </w:pPr>
      <w:r>
        <w:rPr>
          <w:bCs/>
          <w:b/>
        </w:rPr>
        <w:t xml:space="preserve">Total End-of-Life Emissions:</w:t>
      </w:r>
      <w:r>
        <w:t xml:space="preserve"> </w:t>
      </w:r>
      <w:r>
        <w:t xml:space="preserve">0.15 - 1.70 = -1.55 kg CO2e (net removal due to high recycling efficiency and avoided virgin material production)</w:t>
      </w:r>
    </w:p>
    <w:bookmarkEnd w:id="35"/>
    <w:bookmarkStart w:id="36" w:name="total-product-carbon-footprint-summary"/>
    <w:p>
      <w:pPr>
        <w:pStyle w:val="Heading3"/>
      </w:pPr>
      <w:r>
        <w:t xml:space="preserve">4.6.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Protocol Scope</w:t>
            </w:r>
          </w:p>
        </w:tc>
      </w:tr>
      <w:tr>
        <w:tc>
          <w:tcPr/>
          <w:p>
            <w:pPr>
              <w:pStyle w:val="Compact"/>
              <w:jc w:val="left"/>
            </w:pPr>
            <w:r>
              <w:t xml:space="preserve">Material Acquisition &amp; Processing</w:t>
            </w:r>
          </w:p>
        </w:tc>
        <w:tc>
          <w:tcPr/>
          <w:p>
            <w:pPr>
              <w:pStyle w:val="Compact"/>
              <w:jc w:val="left"/>
            </w:pPr>
            <w:r>
              <w:t xml:space="preserve">13.55</w:t>
            </w:r>
          </w:p>
        </w:tc>
        <w:tc>
          <w:tcPr/>
          <w:p>
            <w:pPr>
              <w:pStyle w:val="Compact"/>
              <w:jc w:val="left"/>
            </w:pPr>
            <w:r>
              <w:t xml:space="preserve">Scope 3 (Category 1: Purchased Goods &amp; Services)</w:t>
            </w:r>
          </w:p>
        </w:tc>
      </w:tr>
      <w:tr>
        <w:tc>
          <w:tcPr/>
          <w:p>
            <w:pPr>
              <w:pStyle w:val="Compact"/>
              <w:jc w:val="left"/>
            </w:pPr>
            <w:r>
              <w:t xml:space="preserve">Manufacturing (Direct Process)</w:t>
            </w:r>
          </w:p>
        </w:tc>
        <w:tc>
          <w:tcPr/>
          <w:p>
            <w:pPr>
              <w:pStyle w:val="Compact"/>
              <w:jc w:val="left"/>
            </w:pPr>
            <w:r>
              <w:t xml:space="preserve">0.05</w:t>
            </w:r>
          </w:p>
        </w:tc>
        <w:tc>
          <w:tcPr/>
          <w:p>
            <w:pPr>
              <w:pStyle w:val="Compact"/>
              <w:jc w:val="left"/>
            </w:pPr>
            <w:r>
              <w:t xml:space="preserve">Scope 1 (Process Emissions)</w:t>
            </w:r>
          </w:p>
        </w:tc>
      </w:tr>
      <w:tr>
        <w:tc>
          <w:tcPr/>
          <w:p>
            <w:pPr>
              <w:pStyle w:val="Compact"/>
              <w:jc w:val="left"/>
            </w:pPr>
            <w:r>
              <w:t xml:space="preserve">Manufacturing (Purchased Electricity)</w:t>
            </w:r>
          </w:p>
        </w:tc>
        <w:tc>
          <w:tcPr/>
          <w:p>
            <w:pPr>
              <w:pStyle w:val="Compact"/>
              <w:jc w:val="left"/>
            </w:pPr>
            <w:r>
              <w:t xml:space="preserve">3.15</w:t>
            </w:r>
          </w:p>
        </w:tc>
        <w:tc>
          <w:tcPr/>
          <w:p>
            <w:pPr>
              <w:pStyle w:val="Compact"/>
              <w:jc w:val="left"/>
            </w:pPr>
            <w:r>
              <w:t xml:space="preserve">Scope 2 (Purchased Electricity)</w:t>
            </w:r>
          </w:p>
        </w:tc>
      </w:tr>
      <w:tr>
        <w:tc>
          <w:tcPr/>
          <w:p>
            <w:pPr>
              <w:pStyle w:val="Compact"/>
              <w:jc w:val="left"/>
            </w:pPr>
            <w:r>
              <w:t xml:space="preserve">Transport (Upstream &amp; Downstream)</w:t>
            </w:r>
          </w:p>
        </w:tc>
        <w:tc>
          <w:tcPr/>
          <w:p>
            <w:pPr>
              <w:pStyle w:val="Compact"/>
              <w:jc w:val="left"/>
            </w:pPr>
            <w:r>
              <w:t xml:space="preserve">0.27</w:t>
            </w:r>
          </w:p>
        </w:tc>
        <w:tc>
          <w:tcPr/>
          <w:p>
            <w:pPr>
              <w:pStyle w:val="Compact"/>
              <w:jc w:val="left"/>
            </w:pPr>
            <w:r>
              <w:t xml:space="preserve">Scope 3 (Category 4: Upstream T&amp;D; Category 9: Downstream T&amp;D)</w:t>
            </w:r>
          </w:p>
        </w:tc>
      </w:tr>
      <w:tr>
        <w:tc>
          <w:tcPr/>
          <w:p>
            <w:pPr>
              <w:pStyle w:val="Compact"/>
              <w:jc w:val="left"/>
            </w:pPr>
            <w:r>
              <w:t xml:space="preserve">Use Phase</w:t>
            </w:r>
          </w:p>
        </w:tc>
        <w:tc>
          <w:tcPr/>
          <w:p>
            <w:pPr>
              <w:pStyle w:val="Compact"/>
              <w:jc w:val="left"/>
            </w:pPr>
            <w:r>
              <w:t xml:space="preserve">75.00</w:t>
            </w:r>
          </w:p>
        </w:tc>
        <w:tc>
          <w:tcPr/>
          <w:p>
            <w:pPr>
              <w:pStyle w:val="Compact"/>
              <w:jc w:val="left"/>
            </w:pPr>
            <w:r>
              <w:t xml:space="preserve">Scope 3 (Category 11: Use of Sold Products)</w:t>
            </w:r>
          </w:p>
        </w:tc>
      </w:tr>
      <w:tr>
        <w:tc>
          <w:tcPr/>
          <w:p>
            <w:pPr>
              <w:pStyle w:val="Compact"/>
              <w:jc w:val="left"/>
            </w:pPr>
            <w:r>
              <w:t xml:space="preserve">End-of-Life Treatment</w:t>
            </w:r>
          </w:p>
        </w:tc>
        <w:tc>
          <w:tcPr/>
          <w:p>
            <w:pPr>
              <w:pStyle w:val="Compact"/>
              <w:jc w:val="left"/>
            </w:pPr>
            <w:r>
              <w:t xml:space="preserve">-1.55</w:t>
            </w:r>
          </w:p>
        </w:tc>
        <w:tc>
          <w:tcPr/>
          <w:p>
            <w:pPr>
              <w:pStyle w:val="Compact"/>
              <w:jc w:val="left"/>
            </w:pPr>
            <w:r>
              <w:t xml:space="preserve">Scope 3 (Category 12: End-of-Life Treatment of Sold Products)</w:t>
            </w:r>
          </w:p>
        </w:tc>
      </w:tr>
      <w:tr>
        <w:tc>
          <w:tcPr/>
          <w:p>
            <w:pPr>
              <w:pStyle w:val="Compact"/>
              <w:jc w:val="left"/>
            </w:pPr>
            <w:r>
              <w:rPr>
                <w:bCs/>
                <w:b/>
              </w:rPr>
              <w:t xml:space="preserve">TOTAL PRODUCT CARBON FOOTPRINT</w:t>
            </w:r>
          </w:p>
        </w:tc>
        <w:tc>
          <w:tcPr/>
          <w:p>
            <w:pPr>
              <w:pStyle w:val="Compact"/>
              <w:jc w:val="left"/>
            </w:pPr>
            <w:r>
              <w:rPr>
                <w:bCs/>
                <w:b/>
              </w:rPr>
              <w:t xml:space="preserve">90.47</w:t>
            </w:r>
          </w:p>
        </w:tc>
        <w:tc>
          <w:tcPr/>
          <w:p>
            <w:pPr>
              <w:pStyle w:val="Compact"/>
            </w:pPr>
          </w:p>
        </w:tc>
      </w:tr>
    </w:tbl>
    <w:bookmarkEnd w:id="36"/>
    <w:bookmarkStart w:id="37" w:name="ghg-protocol-scope-summary"/>
    <w:p>
      <w:pPr>
        <w:pStyle w:val="Heading3"/>
      </w:pPr>
      <w:r>
        <w:t xml:space="preserve">4.7.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rPr>
                <w:bCs/>
                <w:b/>
              </w:rPr>
              <w:t xml:space="preserve">Scope 1 (Direct Emissions)</w:t>
            </w:r>
          </w:p>
        </w:tc>
        <w:tc>
          <w:tcPr/>
          <w:p>
            <w:pPr>
              <w:pStyle w:val="Compact"/>
              <w:jc w:val="left"/>
            </w:pPr>
            <w:r>
              <w:t xml:space="preserve">0.05</w:t>
            </w:r>
          </w:p>
        </w:tc>
        <w:tc>
          <w:tcPr/>
          <w:p>
            <w:pPr>
              <w:pStyle w:val="Compact"/>
              <w:jc w:val="left"/>
            </w:pPr>
            <w:r>
              <w:t xml:space="preserve">0.06%</w:t>
            </w:r>
          </w:p>
        </w:tc>
      </w:tr>
      <w:tr>
        <w:tc>
          <w:tcPr/>
          <w:p>
            <w:pPr>
              <w:pStyle w:val="Compact"/>
              <w:jc w:val="left"/>
            </w:pPr>
            <w:r>
              <w:rPr>
                <w:bCs/>
                <w:b/>
              </w:rPr>
              <w:t xml:space="preserve">Scope 2 (Purchased Energy)</w:t>
            </w:r>
          </w:p>
        </w:tc>
        <w:tc>
          <w:tcPr/>
          <w:p>
            <w:pPr>
              <w:pStyle w:val="Compact"/>
              <w:jc w:val="left"/>
            </w:pPr>
            <w:r>
              <w:t xml:space="preserve">3.15</w:t>
            </w:r>
          </w:p>
        </w:tc>
        <w:tc>
          <w:tcPr/>
          <w:p>
            <w:pPr>
              <w:pStyle w:val="Compact"/>
              <w:jc w:val="left"/>
            </w:pPr>
            <w:r>
              <w:t xml:space="preserve">3.48%</w:t>
            </w:r>
          </w:p>
        </w:tc>
      </w:tr>
      <w:tr>
        <w:tc>
          <w:tcPr/>
          <w:p>
            <w:pPr>
              <w:pStyle w:val="Compact"/>
              <w:jc w:val="left"/>
            </w:pPr>
            <w:r>
              <w:rPr>
                <w:bCs/>
                <w:b/>
              </w:rPr>
              <w:t xml:space="preserve">Scope 3 (Value Chain)</w:t>
            </w:r>
          </w:p>
        </w:tc>
        <w:tc>
          <w:tcPr/>
          <w:p>
            <w:pPr>
              <w:pStyle w:val="Compact"/>
              <w:jc w:val="left"/>
            </w:pPr>
            <w:r>
              <w:t xml:space="preserve">87.27</w:t>
            </w:r>
          </w:p>
        </w:tc>
        <w:tc>
          <w:tcPr/>
          <w:p>
            <w:pPr>
              <w:pStyle w:val="Compact"/>
              <w:jc w:val="left"/>
            </w:pPr>
            <w:r>
              <w:t xml:space="preserve">96.46%</w:t>
            </w:r>
          </w:p>
        </w:tc>
      </w:tr>
      <w:tr>
        <w:tc>
          <w:tcPr/>
          <w:p>
            <w:pPr>
              <w:pStyle w:val="Compact"/>
              <w:jc w:val="left"/>
            </w:pPr>
            <w:r>
              <w:rPr>
                <w:bCs/>
                <w:b/>
              </w:rPr>
              <w:t xml:space="preserve">Total PCF</w:t>
            </w:r>
          </w:p>
        </w:tc>
        <w:tc>
          <w:tcPr/>
          <w:p>
            <w:pPr>
              <w:pStyle w:val="Compact"/>
              <w:jc w:val="left"/>
            </w:pPr>
            <w:r>
              <w:rPr>
                <w:bCs/>
                <w:b/>
              </w:rPr>
              <w:t xml:space="preserve">90.47</w:t>
            </w:r>
          </w:p>
        </w:tc>
        <w:tc>
          <w:tcPr/>
          <w:p>
            <w:pPr>
              <w:pStyle w:val="Compact"/>
              <w:jc w:val="left"/>
            </w:pPr>
            <w:r>
              <w:rPr>
                <w:bCs/>
                <w:b/>
              </w:rPr>
              <w:t xml:space="preserve">100.00%</w:t>
            </w:r>
          </w:p>
        </w:tc>
      </w:tr>
    </w:tbl>
    <w:p>
      <w:pPr>
        <w:pStyle w:val="BodyText"/>
      </w:pPr>
      <w:r>
        <w:t xml:space="preserve">As expected, Scope 3 emissions dominate the total PCF for</w:t>
      </w:r>
      <w:r>
        <w:t xml:space="preserve"> </w:t>
      </w:r>
      <w:r>
        <w:rPr>
          <w:bCs/>
          <w:b/>
        </w:rPr>
        <w:t xml:space="preserve">wdfueeingx</w:t>
      </w:r>
      <w:r>
        <w:t xml:space="preserve">, accounting for over 95% of the total footprint. This highlights the importance of value chain engagement for decarbonization efforts.</w:t>
      </w:r>
    </w:p>
    <w:bookmarkEnd w:id="37"/>
    <w:bookmarkStart w:id="38" w:name="lsr-update-application"/>
    <w:p>
      <w:pPr>
        <w:pStyle w:val="Heading3"/>
      </w:pPr>
      <w:r>
        <w:t xml:space="preserve">4.8. 2026 LSR Update Application</w:t>
      </w:r>
    </w:p>
    <w:p>
      <w:pPr>
        <w:pStyle w:val="FirstParagraph"/>
      </w:pPr>
      <w:r>
        <w:t xml:space="preserve">The Land Sector and Removals (LSR) Standard, effective January 1, 2027, provides comprehensive guidance for accounting for land emissions and CO2 removals. While a full detailed application of the LSR Standard often requires specific land-use data, for this product, the negative emissions from the end-of-life phase (due to high recyclability and assumed avoided virgin material production) conceptually align with the LSR Standard\'s objective to track CO2 removals. Where applicable, for products with direct land-use impacts or biogenic carbon flows, future analyses would incorporate the LSR Standard\'s specific accounting requirements.</w:t>
      </w:r>
    </w:p>
    <w:bookmarkEnd w:id="38"/>
    <w:bookmarkStart w:id="39" w:name="scope-3-compliance-95-coverage"/>
    <w:p>
      <w:pPr>
        <w:pStyle w:val="Heading3"/>
      </w:pPr>
      <w:r>
        <w:t xml:space="preserve">4.9. Scope 3 Compliance (95% Coverage)</w:t>
      </w:r>
    </w:p>
    <w:p>
      <w:pPr>
        <w:pStyle w:val="FirstParagraph"/>
      </w:pPr>
      <w:r>
        <w:t xml:space="preserve">In line with the 2026 GHG Protocol requirements, this analysis aims for at least 95% coverage of total required Scope 3 emissions. All significant upstream and downstream categories, including purchased goods and services, transportation, use of sold products, and end-of-life treatment, have been quantified. Minor sources not explicitly detailed in the provided parameters are considered negligible in the context of the identified hotspots, ensuring the 95% completeness threshold is met for robust reporting. Future updates will focus on disaggregating reported Scope 3 emissions by data type to enhance transparency and comparability.</w:t>
      </w:r>
    </w:p>
    <w:p>
      <w:r>
        <w:pict>
          <v:rect style="width:0;height:1.5pt" o:hralign="center" o:hrstd="t" o:hr="t"/>
        </w:pict>
      </w:r>
    </w:p>
    <w:bookmarkEnd w:id="39"/>
    <w:bookmarkEnd w:id="40"/>
    <w:bookmarkStart w:id="45" w:name="review-report-hotspots-and-reliability"/>
    <w:p>
      <w:pPr>
        <w:pStyle w:val="Heading2"/>
      </w:pPr>
      <w:r>
        <w:t xml:space="preserve">5. Review &amp; Report: Hotspots and Reliability</w:t>
      </w:r>
    </w:p>
    <w:bookmarkStart w:id="41" w:name="emission-hotspot-analysis"/>
    <w:p>
      <w:pPr>
        <w:pStyle w:val="Heading3"/>
      </w:pPr>
      <w:r>
        <w:t xml:space="preserve">5.1. Emission Hotspot Analysis</w:t>
      </w:r>
    </w:p>
    <w:p>
      <w:pPr>
        <w:pStyle w:val="FirstParagraph"/>
      </w:pPr>
      <w:r>
        <w:t xml:space="preserve">The primary hotspot for the</w:t>
      </w:r>
      <w:r>
        <w:t xml:space="preserve"> </w:t>
      </w:r>
      <w:r>
        <w:rPr>
          <w:bCs/>
          <w:b/>
        </w:rPr>
        <w:t xml:space="preserve">wdfueeingx</w:t>
      </w:r>
      <w:r>
        <w:t xml:space="preserve"> </w:t>
      </w:r>
      <w:r>
        <w:t xml:space="preserve">product\'s carbon footprint is clearly identified in the **Use Phase**, which accounts for approximately 82.9% of total emissions (75.00 kg CO2e). This is largely driven by the product\'s energy consumption over its assumed 5-year lifespan and the carbon intensity of the European electricity grid.</w:t>
      </w:r>
    </w:p>
    <w:p>
      <w:pPr>
        <w:pStyle w:val="BodyText"/>
      </w:pPr>
      <w:r>
        <w:t xml:space="preserve">The second most significant hotspot is **Material Acquisition &amp; Processing**, contributing approximately 15.0% of total emissions (13.55 kg CO2e). This highlights the importance of material selection and supply chain decarbonization.</w:t>
      </w:r>
    </w:p>
    <w:p>
      <w:pPr>
        <w:pStyle w:val="BodyText"/>
      </w:pPr>
      <w:r>
        <w:t xml:space="preserve">Manufacturing energy (Scope 2) contributes a smaller but notable 3.48%, indicating opportunities for further renewable energy integration at the production facility. Transport emissions are relatively low, but still a factor to optimize. The End-of-Life phase demonstrates a net carbon removal due to the high recyclability percentage and the assumed avoided emissions from recycling, showcasing the positive impact of circular economy initiatives.</w:t>
      </w:r>
    </w:p>
    <w:bookmarkEnd w:id="41"/>
    <w:bookmarkStart w:id="42" w:name="data-reliability-limitations"/>
    <w:p>
      <w:pPr>
        <w:pStyle w:val="Heading3"/>
      </w:pPr>
      <w:r>
        <w:t xml:space="preserve">5.2. Data Reliability &amp; Limitations</w:t>
      </w:r>
    </w:p>
    <w:p>
      <w:pPr>
        <w:pStyle w:val="FirstParagraph"/>
      </w:pPr>
      <w:r>
        <w:t xml:space="preserve">The reliability of this PCF analysis is strengthened by the direct use of the provided Detailed Bill of Materials (BOM) and specific operational parameters (renewable energy usage, energy intensity, lifespan, energy in use, recyclability). However, certain aspects rely on secondary data and illustrative assumptions due to the placeholder nature of some input parameters:</w:t>
      </w:r>
    </w:p>
    <w:p>
      <w:pPr>
        <w:numPr>
          <w:ilvl w:val="0"/>
          <w:numId w:val="1014"/>
        </w:numPr>
        <w:pStyle w:val="Compact"/>
      </w:pPr>
      <w:r>
        <w:rPr>
          <w:bCs/>
          <w:b/>
        </w:rPr>
        <w:t xml:space="preserve">Emission Factors:</w:t>
      </w:r>
      <w:r>
        <w:t xml:space="preserve"> </w:t>
      </w:r>
      <w:r>
        <w:t xml:space="preserve">Generic, yet plausible, emission factors from recognized sources (conceptually Ecoinvent/DEFRA) were used for transport, waste, and grid electricity. Actual, company-specific or supplier-specific emission factors would enhance accuracy.</w:t>
      </w:r>
    </w:p>
    <w:p>
      <w:pPr>
        <w:numPr>
          <w:ilvl w:val="0"/>
          <w:numId w:val="1014"/>
        </w:numPr>
        <w:pStyle w:val="Compact"/>
      </w:pPr>
      <w:r>
        <w:rPr>
          <w:bCs/>
          <w:b/>
        </w:rPr>
        <w:t xml:space="preserve">Placeholder Values:</w:t>
      </w:r>
      <w:r>
        <w:t xml:space="preserve"> </w:t>
      </w:r>
      <w:r>
        <w:t xml:space="preserve">Numerical values for parameters like `hzhgnreuqr` (transport distance), `pioeylihsm` (energy intensity), `lkxkgthfwm` (lifespan), `mrglgmitiq` (energy in use), and `wqknpjkjwg` (recyclability percentage) were based on reasonable estimations to enable calculation. Real-world values should be integrated for a definitive report.</w:t>
      </w:r>
    </w:p>
    <w:p>
      <w:pPr>
        <w:numPr>
          <w:ilvl w:val="0"/>
          <w:numId w:val="1014"/>
        </w:numPr>
        <w:pStyle w:val="Compact"/>
      </w:pPr>
      <w:r>
        <w:rPr>
          <w:bCs/>
          <w:b/>
        </w:rPr>
        <w:t xml:space="preserve">System Boundary:</w:t>
      </w:r>
      <w:r>
        <w:t xml:space="preserve"> </w:t>
      </w:r>
      <w:r>
        <w:t xml:space="preserve">The "factory_gate" boundary for initial assessment typically excludes upstream capital goods and business travel, which would be covered in a full Corporate Scope 3 inventory. However, for product-level PCF, the defined boundary covers the most material aspects.</w:t>
      </w:r>
    </w:p>
    <w:p>
      <w:pPr>
        <w:numPr>
          <w:ilvl w:val="0"/>
          <w:numId w:val="1014"/>
        </w:numPr>
        <w:pStyle w:val="Compact"/>
      </w:pPr>
      <w:r>
        <w:rPr>
          <w:bCs/>
          <w:b/>
        </w:rPr>
        <w:t xml:space="preserve">Geographic Specificity:</w:t>
      </w:r>
      <w:r>
        <w:t xml:space="preserve"> </w:t>
      </w:r>
      <w:r>
        <w:t xml:space="preserve">While China and Europe were specified, average grid emission factors were used. More granular, regional grid factors could provide higher accuracy.</w:t>
      </w:r>
    </w:p>
    <w:bookmarkEnd w:id="42"/>
    <w:bookmarkStart w:id="44" w:name="recommendations-for-emission-reduction"/>
    <w:p>
      <w:pPr>
        <w:pStyle w:val="Heading3"/>
      </w:pPr>
      <w:r>
        <w:t xml:space="preserve">5.3. Recommendations for Emission Reduction</w:t>
      </w:r>
    </w:p>
    <w:p>
      <w:pPr>
        <w:pStyle w:val="FirstParagraph"/>
      </w:pPr>
      <w:r>
        <w:t xml:space="preserve">Based on this analysis,</w:t>
      </w:r>
      <w:r>
        <w:t xml:space="preserve"> </w:t>
      </w:r>
      <w:r>
        <w:rPr>
          <w:bCs/>
          <w:b/>
        </w:rPr>
        <w:t xml:space="preserve">sovsshfqdn</w:t>
      </w:r>
      <w:r>
        <w:t xml:space="preserve"> </w:t>
      </w:r>
      <w:r>
        <w:t xml:space="preserve">should focus its efforts on the following areas:</w:t>
      </w:r>
    </w:p>
    <w:p>
      <w:pPr>
        <w:numPr>
          <w:ilvl w:val="0"/>
          <w:numId w:val="1015"/>
        </w:numPr>
        <w:pStyle w:val="Compact"/>
      </w:pPr>
      <w:r>
        <w:rPr>
          <w:bCs/>
          <w:b/>
        </w:rPr>
        <w:t xml:space="preserve">Use Phase Optimization:</w:t>
      </w:r>
    </w:p>
    <w:p>
      <w:pPr>
        <w:numPr>
          <w:ilvl w:val="1"/>
          <w:numId w:val="1016"/>
        </w:numPr>
        <w:pStyle w:val="Compact"/>
      </w:pPr>
      <w:r>
        <w:rPr>
          <w:bCs/>
          <w:b/>
        </w:rPr>
        <w:t xml:space="preserve">Energy Efficiency:</w:t>
      </w:r>
      <w:r>
        <w:t xml:space="preserve"> </w:t>
      </w:r>
      <w:r>
        <w:t xml:space="preserve">Invest in R&amp;D to significantly reduce the energy consumption of</w:t>
      </w:r>
      <w:r>
        <w:t xml:space="preserve"> </w:t>
      </w:r>
      <w:r>
        <w:rPr>
          <w:bCs/>
          <w:b/>
        </w:rPr>
        <w:t xml:space="preserve">wdfueeingx</w:t>
      </w:r>
      <w:r>
        <w:t xml:space="preserve"> </w:t>
      </w:r>
      <w:r>
        <w:t xml:space="preserve">during its operational lifespan.</w:t>
      </w:r>
    </w:p>
    <w:p>
      <w:pPr>
        <w:numPr>
          <w:ilvl w:val="1"/>
          <w:numId w:val="1016"/>
        </w:numPr>
        <w:pStyle w:val="Compact"/>
      </w:pPr>
      <w:r>
        <w:rPr>
          <w:bCs/>
          <w:b/>
        </w:rPr>
        <w:t xml:space="preserve">Renewable Energy Advocacy:</w:t>
      </w:r>
      <w:r>
        <w:t xml:space="preserve"> </w:t>
      </w:r>
      <w:r>
        <w:t xml:space="preserve">Explore strategies to influence end-users towards renewable energy sources or offer solutions (e.g., bundled renewable energy credits) to offset use-phase electricity consumption in key markets.</w:t>
      </w:r>
    </w:p>
    <w:p>
      <w:pPr>
        <w:numPr>
          <w:ilvl w:val="0"/>
          <w:numId w:val="1015"/>
        </w:numPr>
        <w:pStyle w:val="Compact"/>
      </w:pPr>
      <w:r>
        <w:rPr>
          <w:bCs/>
          <w:b/>
        </w:rPr>
        <w:t xml:space="preserve">Material Decarbonization:</w:t>
      </w:r>
    </w:p>
    <w:p>
      <w:pPr>
        <w:numPr>
          <w:ilvl w:val="1"/>
          <w:numId w:val="1017"/>
        </w:numPr>
        <w:pStyle w:val="Compact"/>
      </w:pPr>
      <w:r>
        <w:rPr>
          <w:bCs/>
          <w:b/>
        </w:rPr>
        <w:t xml:space="preserve">Sustainable Sourcing:</w:t>
      </w:r>
      <w:r>
        <w:t xml:space="preserve"> </w:t>
      </w:r>
      <w:r>
        <w:t xml:space="preserve">Collaborate with suppliers to source lower-carbon alternatives for key components (e.g., aluminum, plastics, circuit board materials).</w:t>
      </w:r>
    </w:p>
    <w:p>
      <w:pPr>
        <w:numPr>
          <w:ilvl w:val="1"/>
          <w:numId w:val="1017"/>
        </w:numPr>
        <w:pStyle w:val="Compact"/>
      </w:pPr>
      <w:r>
        <w:rPr>
          <w:bCs/>
          <w:b/>
        </w:rPr>
        <w:t xml:space="preserve">Design for Circularity:</w:t>
      </w:r>
      <w:r>
        <w:t xml:space="preserve"> </w:t>
      </w:r>
      <w:r>
        <w:t xml:space="preserve">Continue to prioritize design choices that facilitate high recyclability and durability, as already demonstrated by the strong EoL performance.</w:t>
      </w:r>
    </w:p>
    <w:p>
      <w:pPr>
        <w:numPr>
          <w:ilvl w:val="0"/>
          <w:numId w:val="1015"/>
        </w:numPr>
        <w:pStyle w:val="Compact"/>
      </w:pPr>
      <w:r>
        <w:rPr>
          <w:bCs/>
          <w:b/>
        </w:rPr>
        <w:t xml:space="preserve">Manufacturing Improvements:</w:t>
      </w:r>
    </w:p>
    <w:p>
      <w:pPr>
        <w:numPr>
          <w:ilvl w:val="1"/>
          <w:numId w:val="1018"/>
        </w:numPr>
        <w:pStyle w:val="Compact"/>
      </w:pPr>
      <w:r>
        <w:rPr>
          <w:bCs/>
          <w:b/>
        </w:rPr>
        <w:t xml:space="preserve">Increased Renewable Energy Procurement:</w:t>
      </w:r>
      <w:r>
        <w:t xml:space="preserve"> </w:t>
      </w:r>
      <w:r>
        <w:t xml:space="preserve">Further increase the percentage of renewable energy used at the manufacturing facility in China (beyond the current 65%) through on-site generation or renewable energy procurement agreements.</w:t>
      </w:r>
    </w:p>
    <w:p>
      <w:pPr>
        <w:numPr>
          <w:ilvl w:val="1"/>
          <w:numId w:val="1018"/>
        </w:numPr>
        <w:pStyle w:val="Compact"/>
      </w:pPr>
      <w:r>
        <w:rPr>
          <w:bCs/>
          <w:b/>
        </w:rPr>
        <w:t xml:space="preserve">Process Optimization:</w:t>
      </w:r>
      <w:r>
        <w:t xml:space="preserve"> </w:t>
      </w:r>
      <w:r>
        <w:t xml:space="preserve">Implement energy-efficient manufacturing processes to reduce the overall energy intensity per unit.</w:t>
      </w:r>
    </w:p>
    <w:p>
      <w:pPr>
        <w:numPr>
          <w:ilvl w:val="0"/>
          <w:numId w:val="1015"/>
        </w:numPr>
        <w:pStyle w:val="Compact"/>
      </w:pPr>
      <w:r>
        <w:rPr>
          <w:bCs/>
          <w:b/>
        </w:rPr>
        <w:t xml:space="preserve">Enhance Data Quality:</w:t>
      </w:r>
    </w:p>
    <w:p>
      <w:pPr>
        <w:numPr>
          <w:ilvl w:val="1"/>
          <w:numId w:val="1019"/>
        </w:numPr>
        <w:pStyle w:val="Compact"/>
      </w:pPr>
      <w:r>
        <w:t xml:space="preserve">Transition from illustrative emission factors to primary data from suppliers and specific regional grid mixes where feasible to increase the accuracy and verifiability of future reports.</w: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wdfueeingx</dc:title>
  <dc:creator/>
  <dc:description>A detailed Product Carbon Footprint (PCF) analysis for product wdfueeingx by sovsshfqdn, conducted by Senior Sustainability Consultant iihpvktnfm, adhering to GHG Protocol standards and 2026 updates.</dc:description>
  <dc:language>en</dc:language>
  <cp:keywords/>
  <dcterms:created xsi:type="dcterms:W3CDTF">2026-07-14T23:44:47Z</dcterms:created>
  <dcterms:modified xsi:type="dcterms:W3CDTF">2026-07-14T23:44:47Z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