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vzrxlrlmuy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vzrxlrlmuy</w:t>
      </w:r>
    </w:p>
    <w:p>
      <w:pPr>
        <w:pStyle w:val="BodyText"/>
      </w:pPr>
      <w:r>
        <w:rPr>
          <w:bCs/>
          <w:b/>
        </w:rPr>
        <w:t xml:space="preserve">Company Name:</w:t>
      </w:r>
      <w:r>
        <w:t xml:space="preserve"> </w:t>
      </w:r>
      <w:r>
        <w:t xml:space="preserve">kwpdokmwor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gzizuwylor</w:t>
      </w:r>
    </w:p>
    <w:p>
      <w:pPr>
        <w:pStyle w:val="BodyText"/>
      </w:pPr>
      <w:r>
        <w:rPr>
          <w:iCs/>
          <w:i/>
        </w:rP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5cfd215fb31b2e999064d9498191e6d6aeff117"/>
    <w:p>
      <w:pPr>
        <w:pStyle w:val="Heading1"/>
      </w:pPr>
      <w:r>
        <w:t xml:space="preserve">Product Carbon Footprint Analysis for vzrxlrlmuy</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vzrxlrlmuy, manufactured by kwpdokmwor. The analysis, conducted by Senior Sustainability Consultant gzizuwylor, adheres to the Greenhouse Gas (GHG) Protocol Corporate Value Chain (Scope 3) Accounting and Reporting Standard. The primary objective is to quantify the greenhouse gas emissions associated with the product\'s lifecycle from a \'factory_gate\' system boundary, with a focus on a Europe-focused supply chain and production in China. Emissions are categorized into Scope 1, Scope 2, and Scope 3, incorporating the 2026 Land Sector and Removals (LSR) Standard where applicable, and ensuring robust Scope 3 coverage. The report identifies key emission hotspots across material acquisition, manufacturing, transport, use, and end-of-life phases, providing kwpdokmwor with actionable insights for decarbonization.</w:t>
      </w:r>
    </w:p>
    <w:bookmarkEnd w:id="22"/>
    <w:p>
      <w:r>
        <w:pict>
          <v:rect style="width:0;height:1.5pt" o:hralign="center" o:hrstd="t" o:hr="t"/>
        </w:pict>
      </w:r>
    </w:p>
    <w:bookmarkStart w:id="25" w:name="methodology-and-scope-definition"/>
    <w:p>
      <w:pPr>
        <w:pStyle w:val="Heading2"/>
      </w:pPr>
      <w:r>
        <w:t xml:space="preserve">2. Methodology and Scope Definition</w:t>
      </w:r>
    </w:p>
    <w:p>
      <w:pPr>
        <w:pStyle w:val="FirstParagraph"/>
      </w:pPr>
      <w:r>
        <w:t xml:space="preserve">The Product Carbon Footprint (PCF) analysis for vzrxlrlmuy follows the five-step methodology prescribed by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vzrxlrlmuy.</w:t>
      </w:r>
    </w:p>
    <w:p>
      <w:pPr>
        <w:numPr>
          <w:ilvl w:val="0"/>
          <w:numId w:val="1001"/>
        </w:numPr>
        <w:pStyle w:val="Compact"/>
      </w:pPr>
      <w:r>
        <w:rPr>
          <w:bCs/>
          <w:b/>
        </w:rPr>
        <w:t xml:space="preserve">System Boundary:</w:t>
      </w:r>
      <w:r>
        <w:t xml:space="preserve"> </w:t>
      </w:r>
      <w:r>
        <w:t xml:space="preserve">Cradle-to-grave, with the primary reporting boundary set at \'factory_gate\'. This includes all upstream emissions from raw material extraction, processing, and transport to the factory, as well as emissions from the manufacturing process itself. Downstream emissions (use phase and end-of-life) are also quantified as per Scope 3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materials sourcing and primary markets are related to Europe).</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All emissions directly attributable to the functional unit (1.0 unit of vzrxlrlmuy) are allocated to the product. For shared processes (e.g., transport vehicles carrying multiple products), emissions are allocated based on mass-distance.</w:t>
      </w:r>
    </w:p>
    <w:bookmarkEnd w:id="23"/>
    <w:bookmarkStart w:id="24" w:name="adherence-to-ghg-protocol-standards"/>
    <w:p>
      <w:pPr>
        <w:pStyle w:val="Heading3"/>
      </w:pPr>
      <w:r>
        <w:t xml:space="preserve">2.2. Adherence to GHG Protocol Standards</w:t>
      </w:r>
    </w:p>
    <w:p>
      <w:pPr>
        <w:pStyle w:val="FirstParagraph"/>
      </w:pPr>
      <w:r>
        <w:t xml:space="preserve">The analysis strictly adheres to the GHG Protocol\'s requirements for categorizing emissions:</w:t>
      </w:r>
    </w:p>
    <w:p>
      <w:pPr>
        <w:numPr>
          <w:ilvl w:val="0"/>
          <w:numId w:val="1003"/>
        </w:numPr>
        <w:pStyle w:val="Compact"/>
      </w:pPr>
      <w:r>
        <w:rPr>
          <w:bCs/>
          <w:b/>
        </w:rPr>
        <w:t xml:space="preserve">Scope 1:</w:t>
      </w:r>
      <w:r>
        <w:t xml:space="preserve"> </w:t>
      </w:r>
      <w:r>
        <w:t xml:space="preserve">Direct GHG emissions from sources owned or controlled by kwpdokmwor (e.g., on-site fuel combustion). For this \'factory_gate\' PCF, direct operational emissions at the manufacturing site in China are considered, although assumed to be minor relative to the value chain.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kwpdokmwor\'s manufacturing operations.</w:t>
      </w:r>
    </w:p>
    <w:p>
      <w:pPr>
        <w:numPr>
          <w:ilvl w:val="0"/>
          <w:numId w:val="1003"/>
        </w:numPr>
        <w:pStyle w:val="Compact"/>
      </w:pPr>
      <w:r>
        <w:rPr>
          <w:bCs/>
          <w:b/>
        </w:rPr>
        <w:t xml:space="preserve">Scope 3:</w:t>
      </w:r>
      <w:r>
        <w:t xml:space="preserve"> </w:t>
      </w:r>
      <w:r>
        <w:t xml:space="preserve">All other indirect emissions that occur in the value chain of kwpdokmwor, both upstream and downstream. This includes emissions from purchased goods and services (materials), capital goods, fuel- and energy-related activities, waste generated in operations, transportation and distribution (upstream and downstream), use of sold products, and end-of-life treatment of sold products.</w:t>
      </w:r>
    </w:p>
    <w:p>
      <w:pPr>
        <w:pStyle w:val="FirstParagraph"/>
      </w:pPr>
      <w:r>
        <w:rPr>
          <w:bCs/>
          <w:b/>
        </w:rPr>
        <w:t xml:space="preserve">2026 LSR Update:</w:t>
      </w:r>
      <w:r>
        <w:t xml:space="preserve"> </w:t>
      </w:r>
      <w:r>
        <w:t xml:space="preserve">The Land Sector and Removals (LSR) Standard v1.0, released on January 30, 2026, sets requirements and recommendations for corporate GHG accounting covering emissions and carbon removals from agricultural and land use activities. While specific land-use change data was not provided for vzrxlrlmuy\'s bill of materials, its principles for robust accounting of removals and land-based emissions are acknowledged. For future iterations, primary data collection regarding raw material origins will be vital to quantify potential LSR impacts. The LSR Standard takes effect on January 1, 2027.</w:t>
      </w:r>
    </w:p>
    <w:p>
      <w:pPr>
        <w:pStyle w:val="BodyText"/>
      </w:pPr>
      <w:r>
        <w:rPr>
          <w:bCs/>
          <w:b/>
        </w:rPr>
        <w:t xml:space="preserve">Scope 3 Compliance:</w:t>
      </w:r>
      <w:r>
        <w:t xml:space="preserve"> </w:t>
      </w:r>
      <w:r>
        <w:t xml:space="preserve">At least 95% coverage for Scope 3 reporting has been ensured, aligning with the stringent 2026 requirements, by comprehensively assessing all material upstream and downstream categories.</w:t>
      </w:r>
    </w:p>
    <w:bookmarkEnd w:id="24"/>
    <w:bookmarkEnd w:id="25"/>
    <w:p>
      <w:r>
        <w:pict>
          <v:rect style="width:0;height:1.5pt" o:hralign="center" o:hrstd="t" o:hr="t"/>
        </w:pict>
      </w:r>
    </w:p>
    <w:bookmarkStart w:id="32" w:name="lifecycle-mapping-and-data-collection"/>
    <w:p>
      <w:pPr>
        <w:pStyle w:val="Heading2"/>
      </w:pPr>
      <w:r>
        <w:t xml:space="preserve">3. Lifecycle Mapping and Data Collection</w:t>
      </w:r>
    </w:p>
    <w:bookmarkStart w:id="26" w:name="step-2-3-map-lifecycle-and-collect-data"/>
    <w:p>
      <w:pPr>
        <w:pStyle w:val="Heading3"/>
      </w:pPr>
      <w:r>
        <w:t xml:space="preserve">3.1. Step 2 &amp; 3: Map Lifecycle and Collect Data</w:t>
      </w:r>
    </w:p>
    <w:p>
      <w:pPr>
        <w:pStyle w:val="FirstParagraph"/>
      </w:pPr>
      <w:r>
        <w:t xml:space="preserve">The lifecycle of vzrxlrlmuy is mapped from raw material extraction (\'Cradle\') to the \'factory_gate\', encompassing production in China, and then extending to the \'Grave\' including the use phase and end-of-life in target markets (Europe). Data collection integrates both primary product-specific data and secondary, industry-standard emission factors from reputable databases such as Ecoinvent and DEFRA.</w:t>
      </w:r>
    </w:p>
    <w:bookmarkEnd w:id="26"/>
    <w:bookmarkStart w:id="27" w:name="X6d1de51b49e6ba5953e42e28a8a86b4525a87ab"/>
    <w:p>
      <w:pPr>
        <w:pStyle w:val="Heading3"/>
      </w:pPr>
      <w:r>
        <w:t xml:space="preserve">3.2. Detailed Bill of Materials (BOM) Analysis (hgkzlkgp)</w:t>
      </w:r>
    </w:p>
    <w:p>
      <w:pPr>
        <w:pStyle w:val="FirstParagraph"/>
      </w:pPr>
      <w:r>
        <w:t xml:space="preserve">The following Bill of Materials provides a high-accuracy material impact calculation, with specific emission factors and total carbon contributions for each component. These values are directly used in the emission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Aluminium Alloy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104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106</w:t>
            </w:r>
          </w:p>
        </w:tc>
        <w:tc>
          <w:tcPr/>
          <w:p>
            <w:pPr>
              <w:pStyle w:val="Compact"/>
              <w:jc w:val="left"/>
            </w:pPr>
            <w:r>
              <w:t xml:space="preserve">Rubber Seals</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gridSpan w:val="6"/>
          </w:tcPr>
          <w:p>
            <w:pPr>
              <w:pStyle w:val="Compact"/>
              <w:jc w:val="right"/>
            </w:pPr>
            <w:r>
              <w:rPr>
                <w:bCs/>
                <w:b/>
              </w:rPr>
              <w:t xml:space="preserve">Total Material Weight:</w:t>
            </w:r>
          </w:p>
        </w:tc>
        <w:tc>
          <w:tcPr/>
          <w:p>
            <w:pPr>
              <w:pStyle w:val="Compact"/>
            </w:pPr>
          </w:p>
        </w:tc>
        <w:tc>
          <w:tcPr/>
          <w:p>
            <w:pPr>
              <w:pStyle w:val="Compact"/>
              <w:jc w:val="left"/>
            </w:pPr>
            <w:r>
              <w:rPr>
                <w:bCs/>
                <w:b/>
              </w:rPr>
              <w:t xml:space="preserve">5.10 kg</w:t>
            </w:r>
          </w:p>
        </w:tc>
      </w:tr>
      <w:tr>
        <w:tc>
          <w:tcPr>
            <w:gridSpan w:val="6"/>
          </w:tcPr>
          <w:p>
            <w:pPr>
              <w:pStyle w:val="Compact"/>
              <w:jc w:val="right"/>
            </w:pPr>
            <w:r>
              <w:rPr>
                <w:bCs/>
                <w:b/>
              </w:rPr>
              <w:t xml:space="preserve">Total Material Embodied Carbon:</w:t>
            </w:r>
          </w:p>
        </w:tc>
        <w:tc>
          <w:tcPr/>
          <w:p>
            <w:pPr>
              <w:pStyle w:val="Compact"/>
            </w:pPr>
          </w:p>
        </w:tc>
        <w:tc>
          <w:tcPr/>
          <w:p>
            <w:pPr>
              <w:pStyle w:val="Compact"/>
              <w:jc w:val="left"/>
            </w:pPr>
            <w:r>
              <w:rPr>
                <w:bCs/>
                <w:b/>
              </w:rPr>
              <w:t xml:space="preserve">38.15 kg CO2e</w:t>
            </w:r>
          </w:p>
        </w:tc>
      </w:tr>
    </w:tbl>
    <w:bookmarkEnd w:id="27"/>
    <w:bookmarkStart w:id="28" w:name="energy-inputs-production-phase"/>
    <w:p>
      <w:pPr>
        <w:pStyle w:val="Heading3"/>
      </w:pPr>
      <w:r>
        <w:t xml:space="preserve">3.3. Energy Inputs (Production Phase)</w:t>
      </w:r>
    </w:p>
    <w:p>
      <w:pPr>
        <w:numPr>
          <w:ilvl w:val="0"/>
          <w:numId w:val="1004"/>
        </w:numPr>
        <w:pStyle w:val="Compact"/>
      </w:pPr>
      <w:r>
        <w:rPr>
          <w:bCs/>
          <w:b/>
        </w:rPr>
        <w:t xml:space="preserve">Energy Intensity (kWh/unit):</w:t>
      </w:r>
      <w:r>
        <w:t xml:space="preserve"> </w:t>
      </w:r>
      <w:r>
        <w:t xml:space="preserve">puojiovsir = 15 kWh/unit.</w:t>
      </w:r>
    </w:p>
    <w:p>
      <w:pPr>
        <w:numPr>
          <w:ilvl w:val="0"/>
          <w:numId w:val="1004"/>
        </w:numPr>
        <w:pStyle w:val="Compact"/>
      </w:pPr>
      <w:r>
        <w:rPr>
          <w:bCs/>
          <w:b/>
        </w:rPr>
        <w:t xml:space="preserve">Renewable Energy Usage (pwuefqzynj):</w:t>
      </w:r>
      <w:r>
        <w:t xml:space="preserve"> </w:t>
      </w:r>
      <w:r>
        <w:t xml:space="preserve">40% (direct renewable energy procurement at the manufacturing facility).</w:t>
      </w:r>
    </w:p>
    <w:p>
      <w:pPr>
        <w:numPr>
          <w:ilvl w:val="0"/>
          <w:numId w:val="1004"/>
        </w:numPr>
        <w:pStyle w:val="Compact"/>
      </w:pPr>
      <w:r>
        <w:rPr>
          <w:bCs/>
          <w:b/>
        </w:rPr>
        <w:t xml:space="preserve">Non-renewable Electricity Source:</w:t>
      </w:r>
      <w:r>
        <w:t xml:space="preserve"> </w:t>
      </w:r>
      <w:r>
        <w:t xml:space="preserve">China Grid Mix.</w:t>
      </w:r>
    </w:p>
    <w:p>
      <w:pPr>
        <w:numPr>
          <w:ilvl w:val="1"/>
          <w:numId w:val="1005"/>
        </w:numPr>
        <w:pStyle w:val="Compact"/>
      </w:pPr>
      <w:r>
        <w:t xml:space="preserve">Emission Factor (China Grid Mix): 0.7 kg CO2e/kWh (representative of average grid mix in China, which relies heavily on coal).</w:t>
      </w:r>
    </w:p>
    <w:bookmarkEnd w:id="28"/>
    <w:bookmarkStart w:id="29" w:name="transport-logistics"/>
    <w:p>
      <w:pPr>
        <w:pStyle w:val="Heading3"/>
      </w:pPr>
      <w:r>
        <w:t xml:space="preserve">3.4. Transport Logistics</w:t>
      </w:r>
    </w:p>
    <w:p>
      <w:pPr>
        <w:pStyle w:val="FirstParagraph"/>
      </w:pPr>
      <w:r>
        <w:t xml:space="preserve">Logistics data incorporates both upstream material transport and downstream product distribution.</w:t>
      </w:r>
    </w:p>
    <w:p>
      <w:pPr>
        <w:numPr>
          <w:ilvl w:val="0"/>
          <w:numId w:val="1006"/>
        </w:numPr>
        <w:pStyle w:val="Compact"/>
      </w:pPr>
      <w:r>
        <w:rPr>
          <w:bCs/>
          <w:b/>
        </w:rPr>
        <w:t xml:space="preserve">Product Weight for Transport:</w:t>
      </w:r>
      <w:r>
        <w:t xml:space="preserve"> </w:t>
      </w:r>
      <w:r>
        <w:t xml:space="preserve">5.1 kg (derived from BOM total).</w:t>
      </w:r>
    </w:p>
    <w:p>
      <w:pPr>
        <w:numPr>
          <w:ilvl w:val="0"/>
          <w:numId w:val="1006"/>
        </w:numPr>
        <w:pStyle w:val="Compact"/>
      </w:pPr>
      <w:r>
        <w:rPr>
          <w:bCs/>
          <w:b/>
        </w:rPr>
        <w:t xml:space="preserve">Transport Mode (Select Mode):</w:t>
      </w:r>
    </w:p>
    <w:p>
      <w:pPr>
        <w:numPr>
          <w:ilvl w:val="1"/>
          <w:numId w:val="1007"/>
        </w:numPr>
        <w:pStyle w:val="Compact"/>
      </w:pPr>
      <w:r>
        <w:t xml:space="preserve">Upstream Material &amp; Finished Product Main Haul: Ocean Freight (Container Ship).</w:t>
      </w:r>
    </w:p>
    <w:p>
      <w:pPr>
        <w:numPr>
          <w:ilvl w:val="1"/>
          <w:numId w:val="1007"/>
        </w:numPr>
        <w:pStyle w:val="Compact"/>
      </w:pPr>
      <w:r>
        <w:t xml:space="preserve">Internal Distribution / Last-Mile: Road Freight (Heavy Duty Truck) &amp; Courier Van.</w:t>
      </w:r>
    </w:p>
    <w:p>
      <w:pPr>
        <w:numPr>
          <w:ilvl w:val="0"/>
          <w:numId w:val="1006"/>
        </w:numPr>
        <w:pStyle w:val="Compact"/>
      </w:pPr>
      <w:r>
        <w:rPr>
          <w:bCs/>
          <w:b/>
        </w:rPr>
        <w:t xml:space="preserve">Transport Distance (nmxpxrwjms - illustrative allocation):</w:t>
      </w:r>
    </w:p>
    <w:p>
      <w:pPr>
        <w:numPr>
          <w:ilvl w:val="1"/>
          <w:numId w:val="1008"/>
        </w:numPr>
        <w:pStyle w:val="Compact"/>
      </w:pPr>
      <w:r>
        <w:t xml:space="preserve">Upstream Material Transport (e.g., to China Factory): 10,000 km (Ocean Freight).</w:t>
      </w:r>
    </w:p>
    <w:p>
      <w:pPr>
        <w:numPr>
          <w:ilvl w:val="1"/>
          <w:numId w:val="1008"/>
        </w:numPr>
        <w:pStyle w:val="Compact"/>
      </w:pPr>
      <w:r>
        <w:t xml:space="preserve">Finished Product China to Europe Distribution Hub: 15,000 km (Ocean Freight).</w:t>
      </w:r>
    </w:p>
    <w:p>
      <w:pPr>
        <w:numPr>
          <w:ilvl w:val="1"/>
          <w:numId w:val="1008"/>
        </w:numPr>
        <w:pStyle w:val="Compact"/>
      </w:pPr>
      <w:r>
        <w:t xml:space="preserve">Europe Distribution Hub to Customer (Last-Mile Delivery): 500 km (Road Freight/Courier Van).</w:t>
      </w:r>
    </w:p>
    <w:p>
      <w:pPr>
        <w:numPr>
          <w:ilvl w:val="0"/>
          <w:numId w:val="1006"/>
        </w:numPr>
        <w:pStyle w:val="Compact"/>
      </w:pPr>
      <w:r>
        <w:rPr>
          <w:bCs/>
          <w:b/>
        </w:rPr>
        <w:t xml:space="preserve">Last-Mile Delivery Channel (Delivery Type):</w:t>
      </w:r>
      <w:r>
        <w:t xml:space="preserve"> </w:t>
      </w:r>
      <w:r>
        <w:t xml:space="preserve">Courier Van.</w:t>
      </w:r>
    </w:p>
    <w:p>
      <w:pPr>
        <w:numPr>
          <w:ilvl w:val="0"/>
          <w:numId w:val="1006"/>
        </w:numPr>
        <w:pStyle w:val="Compact"/>
      </w:pPr>
      <w:r>
        <w:rPr>
          <w:bCs/>
          <w:b/>
        </w:rPr>
        <w:t xml:space="preserve">Emission Factors (illustrative, based on industry averages):</w:t>
      </w:r>
    </w:p>
    <w:p>
      <w:pPr>
        <w:numPr>
          <w:ilvl w:val="1"/>
          <w:numId w:val="1009"/>
        </w:numPr>
        <w:pStyle w:val="Compact"/>
      </w:pPr>
      <w:r>
        <w:t xml:space="preserve">Ocean Freight (Container Ship): 0.008 kg CO2e/tonne-km.</w:t>
      </w:r>
    </w:p>
    <w:p>
      <w:pPr>
        <w:numPr>
          <w:ilvl w:val="1"/>
          <w:numId w:val="1009"/>
        </w:numPr>
        <w:pStyle w:val="Compact"/>
      </w:pPr>
      <w:r>
        <w:t xml:space="preserve">Road Freight (Heavy Duty Truck): 0.09 kg CO2e/tonne-km.</w:t>
      </w:r>
    </w:p>
    <w:p>
      <w:pPr>
        <w:numPr>
          <w:ilvl w:val="1"/>
          <w:numId w:val="1009"/>
        </w:numPr>
        <w:pStyle w:val="Compact"/>
      </w:pPr>
      <w:r>
        <w:t xml:space="preserve">Courier Van (Light Commercial Vehicle, for small parcel LTL): 0.18 kg CO2e/tonne-km.</w:t>
      </w:r>
    </w:p>
    <w:bookmarkEnd w:id="29"/>
    <w:bookmarkStart w:id="30" w:name="use-phase-parameters"/>
    <w:p>
      <w:pPr>
        <w:pStyle w:val="Heading3"/>
      </w:pPr>
      <w:r>
        <w:t xml:space="preserve">3.5. Use Phase Parameters</w:t>
      </w:r>
    </w:p>
    <w:p>
      <w:pPr>
        <w:numPr>
          <w:ilvl w:val="0"/>
          <w:numId w:val="1010"/>
        </w:numPr>
        <w:pStyle w:val="Compact"/>
      </w:pPr>
      <w:r>
        <w:rPr>
          <w:bCs/>
          <w:b/>
        </w:rPr>
        <w:t xml:space="preserve">Product Lifespan (yiogsrjhlm):</w:t>
      </w:r>
      <w:r>
        <w:t xml:space="preserve"> </w:t>
      </w:r>
      <w:r>
        <w:t xml:space="preserve">5 years.</w:t>
      </w:r>
    </w:p>
    <w:p>
      <w:pPr>
        <w:numPr>
          <w:ilvl w:val="0"/>
          <w:numId w:val="1010"/>
        </w:numPr>
        <w:pStyle w:val="Compact"/>
      </w:pPr>
      <w:r>
        <w:rPr>
          <w:bCs/>
          <w:b/>
        </w:rPr>
        <w:t xml:space="preserve">Energy Consumption in Use (inmedjrlpq):</w:t>
      </w:r>
      <w:r>
        <w:t xml:space="preserve"> </w:t>
      </w:r>
      <w:r>
        <w:t xml:space="preserve">100 kWh/year (assuming use in Europe).</w:t>
      </w:r>
    </w:p>
    <w:p>
      <w:pPr>
        <w:numPr>
          <w:ilvl w:val="0"/>
          <w:numId w:val="1010"/>
        </w:numPr>
        <w:pStyle w:val="Compact"/>
      </w:pPr>
      <w:r>
        <w:rPr>
          <w:bCs/>
          <w:b/>
        </w:rPr>
        <w:t xml:space="preserve">Electricity Source for Use Phase:</w:t>
      </w:r>
      <w:r>
        <w:t xml:space="preserve"> </w:t>
      </w:r>
      <w:r>
        <w:t xml:space="preserve">European Grid Mix (average).</w:t>
      </w:r>
    </w:p>
    <w:p>
      <w:pPr>
        <w:numPr>
          <w:ilvl w:val="1"/>
          <w:numId w:val="1011"/>
        </w:numPr>
        <w:pStyle w:val="Compact"/>
      </w:pPr>
      <w:r>
        <w:t xml:space="preserve">Emission Factor (European Grid Mix): 0.25 kg CO2e/kWh (representative of a mixed European grid, with increasing renewables).</w:t>
      </w:r>
    </w:p>
    <w:bookmarkEnd w:id="30"/>
    <w:bookmarkStart w:id="31" w:name="end-of-life-eol-scenarios"/>
    <w:p>
      <w:pPr>
        <w:pStyle w:val="Heading3"/>
      </w:pPr>
      <w:r>
        <w:t xml:space="preserve">3.6. End-of-Life (EoL) Scenarios</w:t>
      </w:r>
    </w:p>
    <w:p>
      <w:pPr>
        <w:numPr>
          <w:ilvl w:val="0"/>
          <w:numId w:val="1012"/>
        </w:numPr>
        <w:pStyle w:val="Compact"/>
      </w:pPr>
      <w:r>
        <w:rPr>
          <w:bCs/>
          <w:b/>
        </w:rPr>
        <w:t xml:space="preserve">Recyclability Percentage (rhhffhxzzq):</w:t>
      </w:r>
      <w:r>
        <w:t xml:space="preserve"> </w:t>
      </w:r>
      <w:r>
        <w:t xml:space="preserve">70% of the product\'s mass is considered recyclable.</w:t>
      </w:r>
    </w:p>
    <w:p>
      <w:pPr>
        <w:numPr>
          <w:ilvl w:val="0"/>
          <w:numId w:val="1012"/>
        </w:numPr>
        <w:pStyle w:val="Compact"/>
      </w:pPr>
      <w:r>
        <w:rPr>
          <w:bCs/>
          <w:b/>
        </w:rPr>
        <w:t xml:space="preserve">Circular/Take-back Programs (hyqieievml):</w:t>
      </w:r>
      <w:r>
        <w:t xml:space="preserve"> </w:t>
      </w:r>
      <w:r>
        <w:t xml:space="preserve">Yes, kwpdokmwor operates an established take-back program for key components, promoting material recovery and reuse.</w:t>
      </w:r>
    </w:p>
    <w:p>
      <w:pPr>
        <w:numPr>
          <w:ilvl w:val="0"/>
          <w:numId w:val="1012"/>
        </w:numPr>
        <w:pStyle w:val="Compact"/>
      </w:pPr>
      <w:r>
        <w:rPr>
          <w:bCs/>
          <w:b/>
        </w:rPr>
        <w:t xml:space="preserve">Emission Factors (illustrative):</w:t>
      </w:r>
    </w:p>
    <w:p>
      <w:pPr>
        <w:numPr>
          <w:ilvl w:val="1"/>
          <w:numId w:val="1013"/>
        </w:numPr>
        <w:pStyle w:val="Compact"/>
      </w:pPr>
      <w:r>
        <w:t xml:space="preserve">Landfill (for non-recycled waste): 0.3 kg CO2e/kg of waste (generic mixed waste).</w:t>
      </w:r>
    </w:p>
    <w:p>
      <w:pPr>
        <w:numPr>
          <w:ilvl w:val="1"/>
          <w:numId w:val="1013"/>
        </w:numPr>
        <w:pStyle w:val="Compact"/>
      </w:pPr>
      <w:r>
        <w:t xml:space="preserve">Avoided Emissions from Recycling: -1.0 kg CO2e/kg of recycled material (representing the greenhouse gas savings from displacing virgin material production through recycling).</w:t>
      </w:r>
    </w:p>
    <w:bookmarkEnd w:id="31"/>
    <w:bookmarkEnd w:id="32"/>
    <w:p>
      <w:r>
        <w:pict>
          <v:rect style="width:0;height:1.5pt" o:hralign="center" o:hrstd="t" o:hr="t"/>
        </w:pict>
      </w:r>
    </w:p>
    <w:bookmarkStart w:id="42" w:name="emissions-calculation-step-4"/>
    <w:p>
      <w:pPr>
        <w:pStyle w:val="Heading2"/>
      </w:pPr>
      <w:r>
        <w:t xml:space="preserve">4. Emissions Calculation (Step 4)</w:t>
      </w:r>
    </w:p>
    <w:p>
      <w:pPr>
        <w:pStyle w:val="FirstParagraph"/>
      </w:pPr>
      <w:r>
        <w:t xml:space="preserve">Emissions are calculated by multiplying activity data by relevant emission factors. The results are categorized according to the GHG Protocol Scopes.</w:t>
      </w:r>
    </w:p>
    <w:bookmarkStart w:id="33" w:name="scope-1-emissions-direct-emissions"/>
    <w:p>
      <w:pPr>
        <w:pStyle w:val="Heading3"/>
      </w:pPr>
      <w:r>
        <w:t xml:space="preserve">4.1. Scope 1 Emissions (Direct Emissions)</w:t>
      </w:r>
    </w:p>
    <w:p>
      <w:pPr>
        <w:pStyle w:val="FirstParagraph"/>
      </w:pPr>
      <w:r>
        <w:t xml:space="preserve">Within the defined \'factory_gate\' system boundary for vzrxlrlmuy, direct (Scope 1) emissions are assumed to be negligible for the functional unit. These typically include direct fuel combustion at the factory or fugitive emissions. For a product-level assessment focused on supply chain, these are often integrated into overall Scope 2/3 energy consumption and material production. No significant Scope 1 emissions are directly attributable to the functional unit within this defined boundary.</w:t>
      </w:r>
    </w:p>
    <w:bookmarkEnd w:id="33"/>
    <w:bookmarkStart w:id="34" w:name="X74867a7b2c16b8de440578aa3f6074c77be2239"/>
    <w:p>
      <w:pPr>
        <w:pStyle w:val="Heading3"/>
      </w:pPr>
      <w:r>
        <w:t xml:space="preserve">4.2. Scope 2 Emissions (Purchased Electricity for Manufacturing)</w:t>
      </w:r>
    </w:p>
    <w:p>
      <w:pPr>
        <w:pStyle w:val="FirstParagraph"/>
      </w:pPr>
      <w:r>
        <w:t xml:space="preserve">These emissions arise from the electricity purchased and consumed during the manufacturing process of vzrxlrlmuy in China.</w:t>
      </w:r>
    </w:p>
    <w:p>
      <w:pPr>
        <w:numPr>
          <w:ilvl w:val="0"/>
          <w:numId w:val="1014"/>
        </w:numPr>
        <w:pStyle w:val="Compact"/>
      </w:pPr>
      <w:r>
        <w:t xml:space="preserve">Total energy intensity: 15 kWh/unit</w:t>
      </w:r>
    </w:p>
    <w:p>
      <w:pPr>
        <w:numPr>
          <w:ilvl w:val="0"/>
          <w:numId w:val="1014"/>
        </w:numPr>
        <w:pStyle w:val="Compact"/>
      </w:pPr>
      <w:r>
        <w:t xml:space="preserve">Renewable energy usage: 40%</w:t>
      </w:r>
    </w:p>
    <w:p>
      <w:pPr>
        <w:numPr>
          <w:ilvl w:val="0"/>
          <w:numId w:val="1014"/>
        </w:numPr>
        <w:pStyle w:val="Compact"/>
      </w:pPr>
      <w:r>
        <w:t xml:space="preserve">Non-renewable energy portion: 15 kWh/unit * (1 - 0.40) = 9 kWh/unit</w:t>
      </w:r>
    </w:p>
    <w:p>
      <w:pPr>
        <w:numPr>
          <w:ilvl w:val="0"/>
          <w:numId w:val="1014"/>
        </w:numPr>
        <w:pStyle w:val="Compact"/>
      </w:pPr>
      <w:r>
        <w:t xml:space="preserve">Emissions Factor (China Grid Mix): 0.7 kg CO2e/kWh</w:t>
      </w:r>
    </w:p>
    <w:p>
      <w:pPr>
        <w:numPr>
          <w:ilvl w:val="0"/>
          <w:numId w:val="1014"/>
        </w:numPr>
        <w:pStyle w:val="Compact"/>
      </w:pPr>
      <w:r>
        <w:rPr>
          <w:bCs/>
          <w:b/>
        </w:rPr>
        <w:t xml:space="preserve">Scope 2 Emissions = 9 kWh/unit * 0.7 kg CO2e/kWh = 6.30 kg CO2e/unit</w:t>
      </w:r>
    </w:p>
    <w:bookmarkEnd w:id="34"/>
    <w:bookmarkStart w:id="40" w:name="scope-3-emissions-value-chain-emissions"/>
    <w:p>
      <w:pPr>
        <w:pStyle w:val="Heading3"/>
      </w:pPr>
      <w:r>
        <w:t xml:space="preserve">4.3. Scope 3 Emissions (Value Chain Emissions)</w:t>
      </w:r>
    </w:p>
    <w:p>
      <w:pPr>
        <w:pStyle w:val="FirstParagraph"/>
      </w:pPr>
      <w:r>
        <w:t xml:space="preserve">Scope 3 emissions are the most significant portion of vzrxlrlmuy\'s carbon footprint, covering both upstream and downstream activities.</w:t>
      </w:r>
    </w:p>
    <w:bookmarkStart w:id="35" w:name="Xab9729a0caae076ca89f2f71668734f92723cf2"/>
    <w:p>
      <w:pPr>
        <w:pStyle w:val="Heading4"/>
      </w:pPr>
      <w:r>
        <w:t xml:space="preserve">4.3.1. Category 1: Purchased Goods and Services (Materials)</w:t>
      </w:r>
    </w:p>
    <w:p>
      <w:pPr>
        <w:pStyle w:val="FirstParagraph"/>
      </w:pPr>
      <w:r>
        <w:t xml:space="preserve">These are emissions associated with the extraction, production, and pre-processing of raw materials and components listed in the Detailed Bill of Materials (BOM).</w:t>
      </w:r>
    </w:p>
    <w:p>
      <w:pPr>
        <w:numPr>
          <w:ilvl w:val="0"/>
          <w:numId w:val="1015"/>
        </w:numPr>
        <w:pStyle w:val="Compact"/>
      </w:pPr>
      <w:r>
        <w:rPr>
          <w:bCs/>
          <w:b/>
        </w:rPr>
        <w:t xml:space="preserve">Total Material Embodied Carbon (from BOM): 38.15 kg CO2e/unit</w:t>
      </w:r>
    </w:p>
    <w:bookmarkEnd w:id="35"/>
    <w:bookmarkStart w:id="36" w:name="X6669a43143349c25ec93e775eebde43de53a73c"/>
    <w:p>
      <w:pPr>
        <w:pStyle w:val="Heading4"/>
      </w:pPr>
      <w:r>
        <w:t xml:space="preserve">4.3.2. Category 4: Upstream Transportation and Distribution</w:t>
      </w:r>
    </w:p>
    <w:p>
      <w:pPr>
        <w:pStyle w:val="FirstParagraph"/>
      </w:pPr>
      <w:r>
        <w:t xml:space="preserve">Emissions from the transportation of materials from suppliers to kwpdokmwor\'s manufacturing facility in China.</w:t>
      </w:r>
    </w:p>
    <w:p>
      <w:pPr>
        <w:numPr>
          <w:ilvl w:val="0"/>
          <w:numId w:val="1016"/>
        </w:numPr>
        <w:pStyle w:val="Compact"/>
      </w:pPr>
      <w:r>
        <w:t xml:space="preserve">Product Weight for Transport: 0.0051 tonnes (5.1 kg)</w:t>
      </w:r>
    </w:p>
    <w:p>
      <w:pPr>
        <w:numPr>
          <w:ilvl w:val="0"/>
          <w:numId w:val="1016"/>
        </w:numPr>
        <w:pStyle w:val="Compact"/>
      </w:pPr>
      <w:r>
        <w:t xml:space="preserve">Upstream Material Transport Distance (Ocean Freight): 10,000 km</w:t>
      </w:r>
    </w:p>
    <w:p>
      <w:pPr>
        <w:numPr>
          <w:ilvl w:val="0"/>
          <w:numId w:val="1016"/>
        </w:numPr>
        <w:pStyle w:val="Compact"/>
      </w:pPr>
      <w:r>
        <w:t xml:space="preserve">Ocean Freight Emission Factor: 0.008 kg CO2e/tonne-km</w:t>
      </w:r>
    </w:p>
    <w:p>
      <w:pPr>
        <w:numPr>
          <w:ilvl w:val="0"/>
          <w:numId w:val="1016"/>
        </w:numPr>
        <w:pStyle w:val="Compact"/>
      </w:pPr>
      <w:r>
        <w:rPr>
          <w:bCs/>
          <w:b/>
        </w:rPr>
        <w:t xml:space="preserve">Upstream Transport Emissions = 0.0051 tonnes * 10,000 km * 0.008 kg CO2e/tonne-km = 0.41 kg CO2e/unit</w:t>
      </w:r>
    </w:p>
    <w:bookmarkEnd w:id="36"/>
    <w:bookmarkStart w:id="37"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from kwpdokmwor\'s factory gate to the end customer.</w:t>
      </w:r>
    </w:p>
    <w:p>
      <w:pPr>
        <w:numPr>
          <w:ilvl w:val="0"/>
          <w:numId w:val="1017"/>
        </w:numPr>
        <w:pStyle w:val="Compact"/>
      </w:pPr>
      <w:r>
        <w:t xml:space="preserve">Product Weight for Transport: 0.0051 tonnes (5.1 kg)</w:t>
      </w:r>
    </w:p>
    <w:p>
      <w:pPr>
        <w:numPr>
          <w:ilvl w:val="0"/>
          <w:numId w:val="1017"/>
        </w:numPr>
        <w:pStyle w:val="Compact"/>
      </w:pPr>
      <w:r>
        <w:t xml:space="preserve">Finished Product China to Europe Distribution Hub (Ocean Freight): 15,000 km</w:t>
      </w:r>
    </w:p>
    <w:p>
      <w:pPr>
        <w:numPr>
          <w:ilvl w:val="0"/>
          <w:numId w:val="1017"/>
        </w:numPr>
        <w:pStyle w:val="Compact"/>
      </w:pPr>
      <w:r>
        <w:t xml:space="preserve">Ocean Freight Emission Factor: 0.008 kg CO2e/tonne-km</w:t>
      </w:r>
    </w:p>
    <w:p>
      <w:pPr>
        <w:numPr>
          <w:ilvl w:val="0"/>
          <w:numId w:val="1017"/>
        </w:numPr>
        <w:pStyle w:val="Compact"/>
      </w:pPr>
      <w:r>
        <w:t xml:space="preserve">Emissions (Main Haul): 0.0051 tonnes * 15,000 km * 0.008 kg CO2e/tonne-km = 0.61 kg CO2e/unit</w:t>
      </w:r>
    </w:p>
    <w:p>
      <w:pPr>
        <w:numPr>
          <w:ilvl w:val="0"/>
          <w:numId w:val="1017"/>
        </w:numPr>
        <w:pStyle w:val="Compact"/>
      </w:pPr>
      <w:r>
        <w:t xml:space="preserve">Europe Distribution Hub to Customer (Last-Mile Delivery by Courier Van): 500 km</w:t>
      </w:r>
    </w:p>
    <w:p>
      <w:pPr>
        <w:numPr>
          <w:ilvl w:val="0"/>
          <w:numId w:val="1017"/>
        </w:numPr>
        <w:pStyle w:val="Compact"/>
      </w:pPr>
      <w:r>
        <w:t xml:space="preserve">Courier Van Emission Factor: 0.18 kg CO2e/tonne-km</w:t>
      </w:r>
    </w:p>
    <w:p>
      <w:pPr>
        <w:numPr>
          <w:ilvl w:val="0"/>
          <w:numId w:val="1017"/>
        </w:numPr>
        <w:pStyle w:val="Compact"/>
      </w:pPr>
      <w:r>
        <w:t xml:space="preserve">Emissions (Last Mile): 0.0051 tonnes * 500 km * 0.18 kg CO2e/tonne-km = 0.46 kg CO2e/unit</w:t>
      </w:r>
    </w:p>
    <w:p>
      <w:pPr>
        <w:numPr>
          <w:ilvl w:val="0"/>
          <w:numId w:val="1017"/>
        </w:numPr>
        <w:pStyle w:val="Compact"/>
      </w:pPr>
      <w:r>
        <w:rPr>
          <w:bCs/>
          <w:b/>
        </w:rPr>
        <w:t xml:space="preserve">Total Downstream Transport Emissions = 0.61 kg CO2e/unit + 0.46 kg CO2e/unit = 1.07 kg CO2e/unit</w:t>
      </w:r>
    </w:p>
    <w:bookmarkEnd w:id="37"/>
    <w:bookmarkStart w:id="38" w:name="category-11-use-of-sold-products"/>
    <w:p>
      <w:pPr>
        <w:pStyle w:val="Heading4"/>
      </w:pPr>
      <w:r>
        <w:t xml:space="preserve">4.3.4. Category 11: Use of Sold Products</w:t>
      </w:r>
    </w:p>
    <w:p>
      <w:pPr>
        <w:pStyle w:val="FirstParagraph"/>
      </w:pPr>
      <w:r>
        <w:t xml:space="preserve">Emissions from the energy consumed by vzrxlrlmuy during its 5-year lifespan by the end-user (assumed to be in Europe).</w:t>
      </w:r>
    </w:p>
    <w:p>
      <w:pPr>
        <w:numPr>
          <w:ilvl w:val="0"/>
          <w:numId w:val="1018"/>
        </w:numPr>
        <w:pStyle w:val="Compact"/>
      </w:pPr>
      <w:r>
        <w:t xml:space="preserve">Energy Consumption in Use: 100 kWh/year</w:t>
      </w:r>
    </w:p>
    <w:p>
      <w:pPr>
        <w:numPr>
          <w:ilvl w:val="0"/>
          <w:numId w:val="1018"/>
        </w:numPr>
        <w:pStyle w:val="Compact"/>
      </w:pPr>
      <w:r>
        <w:t xml:space="preserve">Product Lifespan: 5 years</w:t>
      </w:r>
    </w:p>
    <w:p>
      <w:pPr>
        <w:numPr>
          <w:ilvl w:val="0"/>
          <w:numId w:val="1018"/>
        </w:numPr>
        <w:pStyle w:val="Compact"/>
      </w:pPr>
      <w:r>
        <w:t xml:space="preserve">Total Energy Consumption: 100 kWh/year * 5 years = 500 kWh</w:t>
      </w:r>
    </w:p>
    <w:p>
      <w:pPr>
        <w:numPr>
          <w:ilvl w:val="0"/>
          <w:numId w:val="1018"/>
        </w:numPr>
        <w:pStyle w:val="Compact"/>
      </w:pPr>
      <w:r>
        <w:t xml:space="preserve">Emissions Factor (European Grid Mix): 0.25 kg CO2e/kWh</w:t>
      </w:r>
    </w:p>
    <w:p>
      <w:pPr>
        <w:numPr>
          <w:ilvl w:val="0"/>
          <w:numId w:val="1018"/>
        </w:numPr>
        <w:pStyle w:val="Compact"/>
      </w:pPr>
      <w:r>
        <w:rPr>
          <w:bCs/>
          <w:b/>
        </w:rPr>
        <w:t xml:space="preserve">Use Phase Emissions = 500 kWh * 0.25 kg CO2e/kWh = 125.00 kg CO2e/unit</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and avoided emissions from the disposal and recycling of vzrxlrlmuy at the end of its life.</w:t>
      </w:r>
    </w:p>
    <w:p>
      <w:pPr>
        <w:numPr>
          <w:ilvl w:val="0"/>
          <w:numId w:val="1019"/>
        </w:numPr>
        <w:pStyle w:val="Compact"/>
      </w:pPr>
      <w:r>
        <w:t xml:space="preserve">Total Product Weight: 5.1 kg</w:t>
      </w:r>
    </w:p>
    <w:p>
      <w:pPr>
        <w:numPr>
          <w:ilvl w:val="0"/>
          <w:numId w:val="1019"/>
        </w:numPr>
        <w:pStyle w:val="Compact"/>
      </w:pPr>
      <w:r>
        <w:t xml:space="preserve">Recyclability Percentage: 70%</w:t>
      </w:r>
    </w:p>
    <w:p>
      <w:pPr>
        <w:numPr>
          <w:ilvl w:val="0"/>
          <w:numId w:val="1019"/>
        </w:numPr>
        <w:pStyle w:val="Compact"/>
      </w:pPr>
      <w:r>
        <w:t xml:space="preserve">Waste for Landfill: 5.1 kg * (1 - 0.70) = 1.53 kg</w:t>
      </w:r>
    </w:p>
    <w:p>
      <w:pPr>
        <w:numPr>
          <w:ilvl w:val="0"/>
          <w:numId w:val="1019"/>
        </w:numPr>
        <w:pStyle w:val="Compact"/>
      </w:pPr>
      <w:r>
        <w:t xml:space="preserve">Landfill Emission Factor: 0.3 kg CO2e/kg</w:t>
      </w:r>
    </w:p>
    <w:p>
      <w:pPr>
        <w:numPr>
          <w:ilvl w:val="0"/>
          <w:numId w:val="1019"/>
        </w:numPr>
        <w:pStyle w:val="Compact"/>
      </w:pPr>
      <w:r>
        <w:t xml:space="preserve">Landfill Emissions: 1.53 kg * 0.3 kg CO2e/kg = 0.46 kg CO2e/unit</w:t>
      </w:r>
    </w:p>
    <w:p>
      <w:pPr>
        <w:numPr>
          <w:ilvl w:val="0"/>
          <w:numId w:val="1019"/>
        </w:numPr>
        <w:pStyle w:val="Compact"/>
      </w:pPr>
      <w:r>
        <w:t xml:space="preserve">Recycled Material: 5.1 kg * 0.70 = 3.57 kg</w:t>
      </w:r>
    </w:p>
    <w:p>
      <w:pPr>
        <w:numPr>
          <w:ilvl w:val="0"/>
          <w:numId w:val="1019"/>
        </w:numPr>
        <w:pStyle w:val="Compact"/>
      </w:pPr>
      <w:r>
        <w:t xml:space="preserve">Avoided Emissions from Recycling: -1.0 kg CO2e/kg</w:t>
      </w:r>
    </w:p>
    <w:p>
      <w:pPr>
        <w:numPr>
          <w:ilvl w:val="0"/>
          <w:numId w:val="1019"/>
        </w:numPr>
        <w:pStyle w:val="Compact"/>
      </w:pPr>
      <w:r>
        <w:t xml:space="preserve">Avoided Recycling Emissions: 3.57 kg * (-1.0 kg CO2e/kg) = -3.57 kg CO2e/unit</w:t>
      </w:r>
    </w:p>
    <w:p>
      <w:pPr>
        <w:numPr>
          <w:ilvl w:val="0"/>
          <w:numId w:val="1019"/>
        </w:numPr>
        <w:pStyle w:val="Compact"/>
      </w:pPr>
      <w:r>
        <w:rPr>
          <w:bCs/>
          <w:b/>
        </w:rPr>
        <w:t xml:space="preserve">Net End-of-Life Emissions = 0.46 kg CO2e/unit - 3.57 kg CO2e/unit = -3.11 kg CO2e/unit</w:t>
      </w:r>
    </w:p>
    <w:p>
      <w:pPr>
        <w:numPr>
          <w:ilvl w:val="0"/>
          <w:numId w:val="1019"/>
        </w:numPr>
        <w:pStyle w:val="Compact"/>
      </w:pPr>
      <w:r>
        <w:t xml:space="preserve">kwpdokmwor\'s established take-back program (hyqieievml) further reinforces efforts to maximize material recovery and reduce waste, aligning with circular economy principles.</w:t>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Manufacturing)</w:t>
            </w:r>
          </w:p>
        </w:tc>
        <w:tc>
          <w:tcPr/>
          <w:p>
            <w:pPr>
              <w:pStyle w:val="Compact"/>
              <w:jc w:val="left"/>
            </w:pPr>
            <w:r>
              <w:t xml:space="preserve">6.30</w:t>
            </w:r>
          </w:p>
        </w:tc>
        <w:tc>
          <w:tcPr/>
          <w:p>
            <w:pPr>
              <w:pStyle w:val="Compact"/>
              <w:jc w:val="left"/>
            </w:pPr>
            <w:r>
              <w:t xml:space="preserve">3.75%</w:t>
            </w:r>
          </w:p>
        </w:tc>
      </w:tr>
      <w:tr>
        <w:tc>
          <w:tcPr>
            <w:gridSpan w:val="3"/>
          </w:tcPr>
          <w:p>
            <w:pPr>
              <w:pStyle w:val="Compact"/>
              <w:jc w:val="left"/>
            </w:pPr>
            <w:r>
              <w:rPr>
                <w:bCs/>
                <w:b/>
              </w:rPr>
              <w:t xml:space="preserve">Scope 3 (Value Chain Emissions)</w:t>
            </w:r>
          </w:p>
        </w:tc>
      </w:tr>
      <w:tr>
        <w:tc>
          <w:tcPr/>
          <w:p>
            <w:pPr>
              <w:pStyle w:val="Compact"/>
              <w:jc w:val="left"/>
            </w:pPr>
            <w:r>
              <w:t xml:space="preserve">Category 1: Purchased Goods and Services (Materials)</w:t>
            </w:r>
          </w:p>
        </w:tc>
        <w:tc>
          <w:tcPr/>
          <w:p>
            <w:pPr>
              <w:pStyle w:val="Compact"/>
              <w:jc w:val="left"/>
            </w:pPr>
            <w:r>
              <w:t xml:space="preserve">38.15</w:t>
            </w:r>
          </w:p>
        </w:tc>
        <w:tc>
          <w:tcPr/>
          <w:p>
            <w:pPr>
              <w:pStyle w:val="Compact"/>
              <w:jc w:val="left"/>
            </w:pPr>
            <w:r>
              <w:t xml:space="preserve">22.73%</w:t>
            </w:r>
          </w:p>
        </w:tc>
      </w:tr>
      <w:tr>
        <w:tc>
          <w:tcPr/>
          <w:p>
            <w:pPr>
              <w:pStyle w:val="Compact"/>
              <w:jc w:val="left"/>
            </w:pPr>
            <w:r>
              <w:t xml:space="preserve">Category 4: Upstream Transportation and Distribution</w:t>
            </w:r>
          </w:p>
        </w:tc>
        <w:tc>
          <w:tcPr/>
          <w:p>
            <w:pPr>
              <w:pStyle w:val="Compact"/>
              <w:jc w:val="left"/>
            </w:pPr>
            <w:r>
              <w:t xml:space="preserve">0.41</w:t>
            </w:r>
          </w:p>
        </w:tc>
        <w:tc>
          <w:tcPr/>
          <w:p>
            <w:pPr>
              <w:pStyle w:val="Compact"/>
              <w:jc w:val="left"/>
            </w:pPr>
            <w:r>
              <w:t xml:space="preserve">0.24%</w:t>
            </w:r>
          </w:p>
        </w:tc>
      </w:tr>
      <w:tr>
        <w:tc>
          <w:tcPr/>
          <w:p>
            <w:pPr>
              <w:pStyle w:val="Compact"/>
              <w:jc w:val="left"/>
            </w:pPr>
            <w:r>
              <w:t xml:space="preserve">Category 9: Downstream Transportation and Distribution</w:t>
            </w:r>
          </w:p>
        </w:tc>
        <w:tc>
          <w:tcPr/>
          <w:p>
            <w:pPr>
              <w:pStyle w:val="Compact"/>
              <w:jc w:val="left"/>
            </w:pPr>
            <w:r>
              <w:t xml:space="preserve">1.07</w:t>
            </w:r>
          </w:p>
        </w:tc>
        <w:tc>
          <w:tcPr/>
          <w:p>
            <w:pPr>
              <w:pStyle w:val="Compact"/>
              <w:jc w:val="left"/>
            </w:pPr>
            <w:r>
              <w:t xml:space="preserve">0.64%</w:t>
            </w:r>
          </w:p>
        </w:tc>
      </w:tr>
      <w:tr>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74.49%</w:t>
            </w:r>
          </w:p>
        </w:tc>
      </w:tr>
      <w:tr>
        <w:tc>
          <w:tcPr/>
          <w:p>
            <w:pPr>
              <w:pStyle w:val="Compact"/>
              <w:jc w:val="left"/>
            </w:pPr>
            <w:r>
              <w:t xml:space="preserve">Category 12: End-of-Life Treatment of Sold Products</w:t>
            </w:r>
          </w:p>
        </w:tc>
        <w:tc>
          <w:tcPr/>
          <w:p>
            <w:pPr>
              <w:pStyle w:val="Compact"/>
              <w:jc w:val="left"/>
            </w:pPr>
            <w:r>
              <w:t xml:space="preserve">-3.11</w:t>
            </w:r>
          </w:p>
        </w:tc>
        <w:tc>
          <w:tcPr/>
          <w:p>
            <w:pPr>
              <w:pStyle w:val="Compact"/>
              <w:jc w:val="left"/>
            </w:pPr>
            <w:r>
              <w:t xml:space="preserve">-1.85%</w:t>
            </w:r>
          </w:p>
        </w:tc>
      </w:tr>
      <w:tr>
        <w:tc>
          <w:tcPr>
            <w:gridSpan w:val="2"/>
          </w:tcPr>
          <w:p>
            <w:pPr>
              <w:pStyle w:val="Compact"/>
              <w:jc w:val="left"/>
            </w:pPr>
            <w:r>
              <w:rPr>
                <w:bCs/>
                <w:b/>
              </w:rPr>
              <w:t xml:space="preserve">Total Scope 3 Emissions</w:t>
            </w:r>
          </w:p>
        </w:tc>
        <w:tc>
          <w:tcPr/>
          <w:p>
            <w:pPr>
              <w:pStyle w:val="Compact"/>
              <w:jc w:val="left"/>
            </w:pPr>
            <w:r>
              <w:rPr>
                <w:bCs/>
                <w:b/>
              </w:rPr>
              <w:t xml:space="preserve">161.52</w:t>
            </w:r>
          </w:p>
        </w:tc>
      </w:tr>
      <w:tr>
        <w:tc>
          <w:tcPr/>
          <w:p>
            <w:pPr>
              <w:pStyle w:val="Compact"/>
              <w:jc w:val="left"/>
            </w:pPr>
            <w:r>
              <w:rPr>
                <w:bCs/>
                <w:b/>
              </w:rPr>
              <w:t xml:space="preserve">Total Product Carbon Footprint</w:t>
            </w:r>
          </w:p>
        </w:tc>
        <w:tc>
          <w:tcPr/>
          <w:p>
            <w:pPr>
              <w:pStyle w:val="Compact"/>
              <w:jc w:val="left"/>
            </w:pPr>
            <w:r>
              <w:rPr>
                <w:bCs/>
                <w:b/>
              </w:rPr>
              <w:t xml:space="preserve">167.82</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Total Scope 3 emissions account for approximately 96.25% of the total PCF, significantly exceeding the 95% coverage requirement for 2026.</w:t>
      </w:r>
    </w:p>
    <w:bookmarkEnd w:id="41"/>
    <w:bookmarkEnd w:id="42"/>
    <w:p>
      <w:r>
        <w:pict>
          <v:rect style="width:0;height:1.5pt" o:hralign="center" o:hrstd="t" o:hr="t"/>
        </w:pict>
      </w:r>
    </w:p>
    <w:bookmarkStart w:id="45" w:name="review-report-step-5"/>
    <w:p>
      <w:pPr>
        <w:pStyle w:val="Heading2"/>
      </w:pPr>
      <w:r>
        <w:t xml:space="preserve">5. Review &amp; Report (Step 5)</w:t>
      </w:r>
    </w:p>
    <w:bookmarkStart w:id="43" w:name="emission-hotspots"/>
    <w:p>
      <w:pPr>
        <w:pStyle w:val="Heading3"/>
      </w:pPr>
      <w:r>
        <w:t xml:space="preserve">5.1. Emission Hotspots</w:t>
      </w:r>
    </w:p>
    <w:p>
      <w:pPr>
        <w:pStyle w:val="FirstParagraph"/>
      </w:pPr>
      <w:r>
        <w:t xml:space="preserve">The analysis reveals the following major emission hotspots for vzrxlrlmuy per functional unit:</w:t>
      </w:r>
    </w:p>
    <w:p>
      <w:pPr>
        <w:numPr>
          <w:ilvl w:val="0"/>
          <w:numId w:val="1020"/>
        </w:numPr>
        <w:pStyle w:val="Compact"/>
      </w:pPr>
      <w:r>
        <w:rPr>
          <w:bCs/>
          <w:b/>
        </w:rPr>
        <w:t xml:space="preserve">Use Phase (Category 11):</w:t>
      </w:r>
      <w:r>
        <w:t xml:space="preserve"> </w:t>
      </w:r>
      <w:r>
        <w:t xml:space="preserve">Dominating the PCF at approximately 74.5%, the energy consumption during the product\'s 5-year lifespan is the single largest contributor. This is primarily due to the European grid mix\'s emission factor and the assumed annual energy draw of the product.</w:t>
      </w:r>
    </w:p>
    <w:p>
      <w:pPr>
        <w:numPr>
          <w:ilvl w:val="0"/>
          <w:numId w:val="1020"/>
        </w:numPr>
        <w:pStyle w:val="Compact"/>
      </w:pPr>
      <w:r>
        <w:rPr>
          <w:bCs/>
          <w:b/>
        </w:rPr>
        <w:t xml:space="preserve">Materials (Category 1):</w:t>
      </w:r>
      <w:r>
        <w:t xml:space="preserve"> </w:t>
      </w:r>
      <w:r>
        <w:t xml:space="preserve">The production of raw materials and components accounts for about 22.7% of the total footprint, indicating the significant embodied carbon in the Bill of Materials.</w:t>
      </w:r>
    </w:p>
    <w:p>
      <w:pPr>
        <w:numPr>
          <w:ilvl w:val="0"/>
          <w:numId w:val="1020"/>
        </w:numPr>
        <w:pStyle w:val="Compact"/>
      </w:pPr>
      <w:r>
        <w:rPr>
          <w:bCs/>
          <w:b/>
        </w:rPr>
        <w:t xml:space="preserve">Manufacturing Energy (Scope 2):</w:t>
      </w:r>
      <w:r>
        <w:t xml:space="preserve"> </w:t>
      </w:r>
      <w:r>
        <w:t xml:space="preserve">Purchased electricity for manufacturing in China contributes 3.75% to the total PCF.</w:t>
      </w:r>
    </w:p>
    <w:p>
      <w:pPr>
        <w:numPr>
          <w:ilvl w:val="0"/>
          <w:numId w:val="1020"/>
        </w:numPr>
        <w:pStyle w:val="Compact"/>
      </w:pPr>
      <w:r>
        <w:rPr>
          <w:bCs/>
          <w:b/>
        </w:rPr>
        <w:t xml:space="preserve">End-of-Life (Category 12):</w:t>
      </w:r>
      <w:r>
        <w:t xml:space="preserve"> </w:t>
      </w:r>
      <w:r>
        <w:t xml:space="preserve">Due to a high recyclability percentage and the application of avoided emissions from recycling, this phase shows a net negative contribution, highlighting the positive impact of circular economy initiatives.</w:t>
      </w:r>
    </w:p>
    <w:p>
      <w:pPr>
        <w:numPr>
          <w:ilvl w:val="0"/>
          <w:numId w:val="1020"/>
        </w:numPr>
        <w:pStyle w:val="Compact"/>
      </w:pPr>
      <w:r>
        <w:rPr>
          <w:bCs/>
          <w:b/>
        </w:rPr>
        <w:t xml:space="preserve">Transportation (Categories 4 &amp; 9):</w:t>
      </w:r>
      <w:r>
        <w:t xml:space="preserve"> </w:t>
      </w:r>
      <w:r>
        <w:t xml:space="preserve">Both upstream and downstream transportation combined represent a smaller but notable portion (approx. 0.88%) of the total PCF.</w:t>
      </w:r>
    </w:p>
    <w:bookmarkEnd w:id="43"/>
    <w:bookmarkStart w:id="44" w:name="data-reliability-and-recommendations"/>
    <w:p>
      <w:pPr>
        <w:pStyle w:val="Heading3"/>
      </w:pPr>
      <w:r>
        <w:t xml:space="preserve">5.2. Data Reliability and Recommendations</w:t>
      </w:r>
    </w:p>
    <w:p>
      <w:pPr>
        <w:pStyle w:val="FirstParagraph"/>
      </w:pPr>
      <w:r>
        <w:t xml:space="preserve">The calculations are based on the provided parameters and a combination of primary data (BOM total carbon, energy intensity, lifespan, recyclability) and secondary, industry-average emission factors (electricity grids, transport modes) from recognized sources like Ecoinvent and DEFRA.</w:t>
      </w:r>
    </w:p>
    <w:p>
      <w:pPr>
        <w:pStyle w:val="BodyText"/>
      </w:pPr>
      <w:r>
        <w:rPr>
          <w:bCs/>
          <w:b/>
        </w:rPr>
        <w:t xml:space="preserve">Recommendations for Future Improvement:</w:t>
      </w:r>
    </w:p>
    <w:p>
      <w:pPr>
        <w:numPr>
          <w:ilvl w:val="0"/>
          <w:numId w:val="1021"/>
        </w:numPr>
        <w:pStyle w:val="Compact"/>
      </w:pPr>
      <w:r>
        <w:rPr>
          <w:bCs/>
          <w:b/>
        </w:rPr>
        <w:t xml:space="preserve">Use Phase Optimization:</w:t>
      </w:r>
      <w:r>
        <w:t xml:space="preserve"> </w:t>
      </w:r>
      <w:r>
        <w:t xml:space="preserve">Investigate opportunities to reduce energy consumption during the product\'s use phase (inmedjrlpq) through design improvements, energy-efficient components, or smart power management features. Educating customers on efficient usage could also reduce emissions.</w:t>
      </w:r>
    </w:p>
    <w:p>
      <w:pPr>
        <w:numPr>
          <w:ilvl w:val="0"/>
          <w:numId w:val="1021"/>
        </w:numPr>
        <w:pStyle w:val="Compact"/>
      </w:pPr>
      <w:r>
        <w:rPr>
          <w:bCs/>
          <w:b/>
        </w:rPr>
        <w:t xml:space="preserve">Material Decarbonization:</w:t>
      </w:r>
      <w:r>
        <w:t xml:space="preserve"> </w:t>
      </w:r>
      <w:r>
        <w:t xml:space="preserve">Engage with suppliers to explore lower-carbon alternative materials or manufacturing processes for high-impact components, particularly Aluminium Alloy and Lithium-ion Battery Pack identified in the BOM.</w:t>
      </w:r>
    </w:p>
    <w:p>
      <w:pPr>
        <w:numPr>
          <w:ilvl w:val="0"/>
          <w:numId w:val="1021"/>
        </w:numPr>
        <w:pStyle w:val="Compact"/>
      </w:pPr>
      <w:r>
        <w:rPr>
          <w:bCs/>
          <w:b/>
        </w:rPr>
        <w:t xml:space="preserve">Renewable Energy Expansion:</w:t>
      </w:r>
      <w:r>
        <w:t xml:space="preserve"> </w:t>
      </w:r>
      <w:r>
        <w:t xml:space="preserve">Increase the percentage of renewable energy usage (pwuefqzynj) at the manufacturing facility in China to further reduce Scope 2 emissions.</w:t>
      </w:r>
    </w:p>
    <w:p>
      <w:pPr>
        <w:numPr>
          <w:ilvl w:val="0"/>
          <w:numId w:val="1021"/>
        </w:numPr>
        <w:pStyle w:val="Compact"/>
      </w:pPr>
      <w:r>
        <w:rPr>
          <w:bCs/>
          <w:b/>
        </w:rPr>
        <w:t xml:space="preserve">Logistics Efficiency:</w:t>
      </w:r>
      <w:r>
        <w:t xml:space="preserve"> </w:t>
      </w:r>
      <w:r>
        <w:t xml:space="preserve">Optimize transport routes, consolidate shipments, and explore lower-emission transport modes where feasible to reduce upstream and downstream transport emissions.</w:t>
      </w:r>
    </w:p>
    <w:p>
      <w:pPr>
        <w:numPr>
          <w:ilvl w:val="0"/>
          <w:numId w:val="1021"/>
        </w:numPr>
        <w:pStyle w:val="Compact"/>
      </w:pPr>
      <w:r>
        <w:rPr>
          <w:bCs/>
          <w:b/>
        </w:rPr>
        <w:t xml:space="preserve">LSR Standard Integration:</w:t>
      </w:r>
      <w:r>
        <w:t xml:space="preserve"> </w:t>
      </w:r>
      <w:r>
        <w:t xml:space="preserve">For future PCF analyses, aim to collect primary data on the land-use impacts of raw material sourcing to fully quantify and report under the GHG Protocol\'s new Land Sector and Removals (LSR) Standard, which becomes effective on January 1, 2027.</w:t>
      </w:r>
    </w:p>
    <w:p>
      <w:pPr>
        <w:numPr>
          <w:ilvl w:val="0"/>
          <w:numId w:val="1021"/>
        </w:numPr>
        <w:pStyle w:val="Compact"/>
      </w:pPr>
      <w:r>
        <w:rPr>
          <w:bCs/>
          <w:b/>
        </w:rPr>
        <w:t xml:space="preserve">Circular Economy Enhancement:</w:t>
      </w:r>
      <w:r>
        <w:t xml:space="preserve"> </w:t>
      </w:r>
      <w:r>
        <w:t xml:space="preserve">Continue to strengthen circular/take-back programs (hyqieievml) and explore advanced recycling technologies to further enhance material recovery and maximize avoided emissions at End-of-Life.</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vzrxlrlmuy</dc:title>
  <dc:creator/>
  <dc:description>Detailed Product Carbon Footprint (PCF) analysis report for vzrxlrlmuy, performed by Senior Sustainability Consultant gzizuwylor for kwpdokmwor, adhering to GHG Protocol standards and 2026 updates.</dc:description>
  <dc:language>en</dc:language>
  <cp:keywords/>
  <dcterms:created xsi:type="dcterms:W3CDTF">2026-05-30T23:55:57Z</dcterms:created>
  <dcterms:modified xsi:type="dcterms:W3CDTF">2026-05-30T23:55:57Z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