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vzqoixjxxz</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vzqoixjxxz"/>
    <w:p>
      <w:pPr>
        <w:pStyle w:val="Heading2"/>
      </w:pPr>
      <w:r>
        <w:t xml:space="preserve">For Product: vzqoixjxxz</w:t>
      </w:r>
    </w:p>
    <w:p>
      <w:pPr>
        <w:pStyle w:val="FirstParagraph"/>
      </w:pPr>
      <w:r>
        <w:rPr>
          <w:bCs/>
          <w:b/>
        </w:rPr>
        <w:t xml:space="preserve">Company Name:</w:t>
      </w:r>
      <w:r>
        <w:t xml:space="preserve"> </w:t>
      </w:r>
      <w:r>
        <w:t xml:space="preserve">qzdxxrxmki</w:t>
      </w:r>
    </w:p>
    <w:p>
      <w:pPr>
        <w:pStyle w:val="BodyText"/>
      </w:pPr>
      <w:r>
        <w:rPr>
          <w:bCs/>
          <w:b/>
        </w:rPr>
        <w:t xml:space="preserve">Senior Sustainability Consultant:</w:t>
      </w:r>
      <w:r>
        <w:t xml:space="preserve"> </w:t>
      </w:r>
      <w:r>
        <w:t xml:space="preserve">rhxsdgqoun</w:t>
      </w:r>
    </w:p>
    <w:p>
      <w:pPr>
        <w:pStyle w:val="BodyText"/>
      </w:pPr>
      <w:r>
        <w:rPr>
          <w:bCs/>
          <w:b/>
        </w:rPr>
        <w:t xml:space="preserve">Accounting Standard:</w:t>
      </w:r>
      <w:r>
        <w:t xml:space="preserve"> </w:t>
      </w:r>
      <w:r>
        <w:t xml:space="preserve">GHG Protocol Product Standard</w:t>
      </w:r>
    </w:p>
    <w:p>
      <w:pPr>
        <w:pStyle w:val="BodyText"/>
      </w:pPr>
      <w:r>
        <w:rPr>
          <w:bCs/>
          <w:b/>
        </w:rPr>
        <w:t xml:space="preserve">Date:</w:t>
      </w:r>
      <w:r>
        <w:t xml:space="preserve"> </w:t>
      </w:r>
      <w:r>
        <w:t xml:space="preserve">May 27, 2026</w:t>
      </w:r>
    </w:p>
    <w:p>
      <w:pPr>
        <w:pStyle w:val="BodyText"/>
      </w:pPr>
      <w:r>
        <w:t xml:space="preserve">Disclaimer: This report is generated based on available data, specified parameters, and industry standards. While every effort has been made to ensure accuracy, actual values may vary due to inherent complexities in data collection and modeling.</w:t>
      </w:r>
    </w:p>
    <w:bookmarkEnd w:id="20"/>
    <w:bookmarkEnd w:id="21"/>
    <w:bookmarkStart w:id="44" w:name="X8cc7c55b23992759e88b7bd146eb25294f6a977"/>
    <w:p>
      <w:pPr>
        <w:pStyle w:val="Heading1"/>
      </w:pPr>
      <w:r>
        <w:t xml:space="preserve">Product Carbon Footprint Analysis: vzqoixjxxz</w:t>
      </w:r>
    </w:p>
    <w:p>
      <w:pPr>
        <w:pStyle w:val="FirstParagraph"/>
      </w:pPr>
      <w:r>
        <w:t xml:space="preserve">Generated Date: May 27,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product</w:t>
      </w:r>
      <w:r>
        <w:t xml:space="preserve"> </w:t>
      </w:r>
      <w:r>
        <w:rPr>
          <w:bCs/>
          <w:b/>
        </w:rPr>
        <w:t xml:space="preserve">vzqoixjxxz</w:t>
      </w:r>
      <w:r>
        <w:t xml:space="preserve">, manufactured by</w:t>
      </w:r>
      <w:r>
        <w:t xml:space="preserve"> </w:t>
      </w:r>
      <w:r>
        <w:rPr>
          <w:bCs/>
          <w:b/>
        </w:rPr>
        <w:t xml:space="preserve">qzdxxrxmki</w:t>
      </w:r>
      <w:r>
        <w:t xml:space="preserve">. The analysis, conducted by Senior Sustainability Consultant</w:t>
      </w:r>
      <w:r>
        <w:t xml:space="preserve"> </w:t>
      </w:r>
      <w:r>
        <w:rPr>
          <w:bCs/>
          <w:b/>
        </w:rPr>
        <w:t xml:space="preserve">rhxsdgqoun</w:t>
      </w:r>
      <w:r>
        <w:t xml:space="preserve">, adheres strictly to the GHG Protocol Product Standard, incorporating the latest 2026 Land Sector and Removals (LSR) update and ensuring over 95% Scope 3 coverage. The primary goal is to quantify the greenhouse gas emissions associated with the product\'s lifecycle from raw material extraction to the factory gate (cradle-to-gate), with additional insights into the use and end-of-life phases, identifying key emission hotspots and opportunities for reduction.</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This PCF analysis follows the five-step methodology as prescribed by leading sustainability frameworks and best practices, with strict adherence to the GHG Protocol Product Standard.</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vzqoixjxxz.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factory_gate (Cradle-to-gate). This encompasses all emissions from raw material acquisition, manufacturing, and transport up to the point the finished product leaves the factory gate in China. Additionally, a qualitative and quantitative assessment of the Use Phase and End-of-Life (EoL) scenarios is included for a more comprehensive understanding.</w:t>
      </w:r>
    </w:p>
    <w:p>
      <w:pPr>
        <w:numPr>
          <w:ilvl w:val="0"/>
          <w:numId w:val="1001"/>
        </w:numPr>
        <w:pStyle w:val="Compact"/>
      </w:pPr>
      <w:r>
        <w:rPr>
          <w:bCs/>
          <w:b/>
        </w:rPr>
        <w:t xml:space="preserve">Geographic Scope:</w:t>
      </w:r>
      <w:r>
        <w:t xml:space="preserve"> </w:t>
      </w:r>
      <w:r>
        <w:t xml:space="preserve">Final Production Country: China, Supply Chain Focus: Europe Focused. This means raw material extraction and component manufacturing are primarily considered in Europe, with final assembly and production occurring in China.</w:t>
      </w:r>
    </w:p>
    <w:p>
      <w:pPr>
        <w:numPr>
          <w:ilvl w:val="0"/>
          <w:numId w:val="1001"/>
        </w:numPr>
        <w:pStyle w:val="Compact"/>
      </w:pPr>
      <w:r>
        <w:rPr>
          <w:bCs/>
          <w:b/>
        </w:rPr>
        <w:t xml:space="preserve">Allocation:</w:t>
      </w:r>
      <w:r>
        <w:t xml:space="preserve"> </w:t>
      </w:r>
      <w:r>
        <w:t xml:space="preserve">Where multi-functional processes occur, emissions are allocated based on physical causality (e.g., mass) or economic value, in line with GHG Protocol guidance.</w:t>
      </w:r>
    </w:p>
    <w:bookmarkEnd w:id="23"/>
    <w:bookmarkStart w:id="24" w:name="map-lifecycle-lci-inventory-stages"/>
    <w:p>
      <w:pPr>
        <w:pStyle w:val="Heading3"/>
      </w:pPr>
      <w:r>
        <w:t xml:space="preserve">1.2. Map Lifecycle (LCI Inventory Stages)</w:t>
      </w:r>
    </w:p>
    <w:p>
      <w:pPr>
        <w:pStyle w:val="FirstParagraph"/>
      </w:pPr>
      <w:r>
        <w:t xml:space="preserve">The lifecycle of vzqoixjxxz is mapped into distinct stages to systematically account for all relevant material and energy flows. This includes:</w:t>
      </w:r>
    </w:p>
    <w:p>
      <w:pPr>
        <w:numPr>
          <w:ilvl w:val="0"/>
          <w:numId w:val="1002"/>
        </w:numPr>
        <w:pStyle w:val="Compact"/>
      </w:pPr>
      <w:r>
        <w:rPr>
          <w:bCs/>
          <w:b/>
        </w:rPr>
        <w:t xml:space="preserve">Raw Material Acquisition &amp; Pre-processing:</w:t>
      </w:r>
      <w:r>
        <w:t xml:space="preserve"> </w:t>
      </w:r>
      <w:r>
        <w:t xml:space="preserve">Extraction, cultivation, and initial processing of all raw materials and components (e.g., gefpirel).</w:t>
      </w:r>
    </w:p>
    <w:p>
      <w:pPr>
        <w:numPr>
          <w:ilvl w:val="0"/>
          <w:numId w:val="1002"/>
        </w:numPr>
        <w:pStyle w:val="Compact"/>
      </w:pPr>
      <w:r>
        <w:rPr>
          <w:bCs/>
          <w:b/>
        </w:rPr>
        <w:t xml:space="preserve">Manufacturing &amp; Production:</w:t>
      </w:r>
      <w:r>
        <w:t xml:space="preserve"> </w:t>
      </w:r>
      <w:r>
        <w:t xml:space="preserve">All processes at the factory in China, including energy consumption, direct emissions, and waste generation.</w:t>
      </w:r>
    </w:p>
    <w:p>
      <w:pPr>
        <w:numPr>
          <w:ilvl w:val="0"/>
          <w:numId w:val="1002"/>
        </w:numPr>
        <w:pStyle w:val="Compact"/>
      </w:pPr>
      <w:r>
        <w:rPr>
          <w:bCs/>
          <w:b/>
        </w:rPr>
        <w:t xml:space="preserve">Transportation (to factory gate):</w:t>
      </w:r>
      <w:r>
        <w:t xml:space="preserve"> </w:t>
      </w:r>
      <w:r>
        <w:t xml:space="preserve">Logistics of materials and components from European suppliers to the manufacturing facility in China, and transport of the finished product to the factory gate.</w:t>
      </w:r>
    </w:p>
    <w:p>
      <w:pPr>
        <w:numPr>
          <w:ilvl w:val="0"/>
          <w:numId w:val="1002"/>
        </w:numPr>
        <w:pStyle w:val="Compact"/>
      </w:pPr>
      <w:r>
        <w:rPr>
          <w:bCs/>
          <w:b/>
        </w:rPr>
        <w:t xml:space="preserve">Use Phase:</w:t>
      </w:r>
      <w:r>
        <w:t xml:space="preserve"> </w:t>
      </w:r>
      <w:r>
        <w:t xml:space="preserve">Energy consumption and any associated emissions during the product\'s intended operational life by the end-user.</w:t>
      </w:r>
    </w:p>
    <w:p>
      <w:pPr>
        <w:numPr>
          <w:ilvl w:val="0"/>
          <w:numId w:val="1002"/>
        </w:numPr>
        <w:pStyle w:val="Compact"/>
      </w:pPr>
      <w:r>
        <w:rPr>
          <w:bCs/>
          <w:b/>
        </w:rPr>
        <w:t xml:space="preserve">End-of-Life (EoL):</w:t>
      </w:r>
      <w:r>
        <w:t xml:space="preserve"> </w:t>
      </w:r>
      <w:r>
        <w:t xml:space="preserve">Disposal, recycling, or recovery processes for the product at the end of its lifespan.</w:t>
      </w:r>
    </w:p>
    <w:bookmarkEnd w:id="24"/>
    <w:bookmarkStart w:id="25" w:name="Xb57f50a89bf1f3f1837369be949d9d60d6c1272"/>
    <w:p>
      <w:pPr>
        <w:pStyle w:val="Heading3"/>
      </w:pPr>
      <w:r>
        <w:t xml:space="preserve">1.3. Collect Data (Primary/Secondary Data Points)</w:t>
      </w:r>
    </w:p>
    <w:p>
      <w:pPr>
        <w:pStyle w:val="FirstParagraph"/>
      </w:pPr>
      <w:r>
        <w:t xml:space="preserve">Data collection involves a combination of primary and secondary sources:</w:t>
      </w:r>
    </w:p>
    <w:p>
      <w:pPr>
        <w:numPr>
          <w:ilvl w:val="0"/>
          <w:numId w:val="1003"/>
        </w:numPr>
        <w:pStyle w:val="Compact"/>
      </w:pPr>
      <w:r>
        <w:rPr>
          <w:bCs/>
          <w:b/>
        </w:rPr>
        <w:t xml:space="preserve">Primary Data:</w:t>
      </w:r>
      <w:r>
        <w:t xml:space="preserve"> </w:t>
      </w:r>
      <w:r>
        <w:t xml:space="preserve">Specific operational data from</w:t>
      </w:r>
      <w:r>
        <w:t xml:space="preserve"> </w:t>
      </w:r>
      <w:r>
        <w:rPr>
          <w:bCs/>
          <w:b/>
        </w:rPr>
        <w:t xml:space="preserve">qzdxxrxmki</w:t>
      </w:r>
      <w:r>
        <w:t xml:space="preserve"> </w:t>
      </w:r>
      <w:r>
        <w:t xml:space="preserve">regarding material inputs, energy consumption, and waste generation for the manufacturing of vzqoixjxxz. This includes the Detailed Bill of Materials (BOM), energy usage, and renewable energy adoption.</w:t>
      </w:r>
    </w:p>
    <w:p>
      <w:pPr>
        <w:numPr>
          <w:ilvl w:val="0"/>
          <w:numId w:val="1003"/>
        </w:numPr>
        <w:pStyle w:val="Compact"/>
      </w:pPr>
      <w:r>
        <w:rPr>
          <w:bCs/>
          <w:b/>
        </w:rPr>
        <w:t xml:space="preserve">Secondary Data:</w:t>
      </w:r>
      <w:r>
        <w:t xml:space="preserve"> </w:t>
      </w:r>
      <w:r>
        <w:t xml:space="preserve">Industry-average emission factors for materials, transportation modes, and energy grids, primarily sourced from recognized databases such as Ecoinvent and DEFRA for robustness and comparability.</w:t>
      </w:r>
    </w:p>
    <w:bookmarkEnd w:id="25"/>
    <w:bookmarkStart w:id="26" w:name="Xb404f6bea4a0013006ec7a9103609d9ea6643c1"/>
    <w:p>
      <w:pPr>
        <w:pStyle w:val="Heading3"/>
      </w:pPr>
      <w:r>
        <w:t xml:space="preserve">1.4. Calculate Emissions (Activity * Emission Factor = CO2e)</w:t>
      </w:r>
    </w:p>
    <w:p>
      <w:pPr>
        <w:pStyle w:val="FirstParagraph"/>
      </w:pPr>
      <w:r>
        <w:t xml:space="preserve">Emissions are calculated by multiplying the activity data (e.g., kg of material, kWh of energy, km of transport) by the relevant emission factor (e.g., kg CO2e/kg material, kg CO2e/kWh, kg CO2e/tkm). All emissions are expressed in kilograms of carbon dioxide equivalents (kg CO2e) to account for the Global Warming Potential (GWP) of different greenhouse gases over a 100-year horizon.</w:t>
      </w:r>
    </w:p>
    <w:bookmarkEnd w:id="26"/>
    <w:bookmarkStart w:id="27" w:name="review-report-hotspots-and-reliability"/>
    <w:p>
      <w:pPr>
        <w:pStyle w:val="Heading3"/>
      </w:pPr>
      <w:r>
        <w:t xml:space="preserve">1.5. Review &amp; Report (Hotspots and Reliability)</w:t>
      </w:r>
    </w:p>
    <w:p>
      <w:pPr>
        <w:pStyle w:val="FirstParagraph"/>
      </w:pPr>
      <w:r>
        <w:t xml:space="preserve">The final stage involves a critical review of the results to identify emission hotspots—stages or components with the largest environmental impact. The reliability of the data and calculations is assessed, and findings are communicated in this detailed report.</w:t>
      </w:r>
    </w:p>
    <w:p>
      <w:r>
        <w:pict>
          <v:rect style="width:0;height:1.5pt" o:hralign="center" o:hrstd="t" o:hr="t"/>
        </w:pict>
      </w:r>
    </w:p>
    <w:bookmarkEnd w:id="27"/>
    <w:bookmarkEnd w:id="28"/>
    <w:bookmarkStart w:id="31" w:name="ghg-protocol-adherence-and-2026-updates"/>
    <w:p>
      <w:pPr>
        <w:pStyle w:val="Heading2"/>
      </w:pPr>
      <w:r>
        <w:t xml:space="preserve">2. GHG Protocol Adherence and 2026 Updates</w:t>
      </w:r>
    </w:p>
    <w:p>
      <w:pPr>
        <w:pStyle w:val="FirstParagraph"/>
      </w:pPr>
      <w:r>
        <w:t xml:space="preserve">This PCF analysis strictly adheres to the GHG Protocol Product Standard, categorizing emissions into Scope 1, Scope 2, and Scope 3.</w:t>
      </w:r>
    </w:p>
    <w:p>
      <w:pPr>
        <w:numPr>
          <w:ilvl w:val="0"/>
          <w:numId w:val="1004"/>
        </w:numPr>
        <w:pStyle w:val="Compact"/>
      </w:pPr>
      <w:r>
        <w:rPr>
          <w:bCs/>
          <w:b/>
        </w:rPr>
        <w:t xml:space="preserve">Scope 1: Direct Emissions</w:t>
      </w:r>
      <w:r>
        <w:t xml:space="preserve"> </w:t>
      </w:r>
      <w:r>
        <w:t xml:space="preserve">from sources owned or controlled by</w:t>
      </w:r>
      <w:r>
        <w:t xml:space="preserve"> </w:t>
      </w:r>
      <w:r>
        <w:rPr>
          <w:bCs/>
          <w:b/>
        </w:rPr>
        <w:t xml:space="preserve">qzdxxrxmki</w:t>
      </w:r>
      <w:r>
        <w:t xml:space="preserve"> </w:t>
      </w:r>
      <w:r>
        <w:t xml:space="preserve">(e.g., direct combustion in factory equipment). For a factory_gate boundary, direct manufacturing emissions are included.</w:t>
      </w:r>
    </w:p>
    <w:p>
      <w:pPr>
        <w:numPr>
          <w:ilvl w:val="0"/>
          <w:numId w:val="1004"/>
        </w:numPr>
        <w:pStyle w:val="Compact"/>
      </w:pPr>
      <w:r>
        <w:rPr>
          <w:bCs/>
          <w:b/>
        </w:rPr>
        <w:t xml:space="preserve">Scope 2: Indirect Emissions from Purchased Energy</w:t>
      </w:r>
      <w:r>
        <w:t xml:space="preserve"> </w:t>
      </w:r>
      <w:r>
        <w:t xml:space="preserve">(e.g., electricity, steam, heating, and cooling). This is calculated based on energy intensity and renewable energy usage.</w:t>
      </w:r>
    </w:p>
    <w:p>
      <w:pPr>
        <w:numPr>
          <w:ilvl w:val="0"/>
          <w:numId w:val="1004"/>
        </w:numPr>
        <w:pStyle w:val="Compact"/>
      </w:pPr>
      <w:r>
        <w:rPr>
          <w:bCs/>
          <w:b/>
        </w:rPr>
        <w:t xml:space="preserve">Scope 3: Other Indirect Emissions</w:t>
      </w:r>
      <w:r>
        <w:t xml:space="preserve"> </w:t>
      </w:r>
      <w:r>
        <w:t xml:space="preserve">occurring from the value chain, both upstream and downstream. This includes purchased goods and services (materials), transportation and distribution, use of sold products, and end-of-life treatment of sold products.</w:t>
      </w:r>
    </w:p>
    <w:bookmarkStart w:id="29" w:name="land-sector-and-removals-lsr-update"/>
    <w:p>
      <w:pPr>
        <w:pStyle w:val="Heading3"/>
      </w:pPr>
      <w:r>
        <w:t xml:space="preserve">2.1. 2026 Land Sector and Removals (LSR) Update</w:t>
      </w:r>
    </w:p>
    <w:p>
      <w:pPr>
        <w:pStyle w:val="FirstParagraph"/>
      </w:pPr>
      <w:r>
        <w:t xml:space="preserve">The analysis incorporates the principles of the 2026 GHG Protocol Land Sector and Removals (LSR) Standard. For product-level PCF, this primarily means accounting for land-use change emissions and removals associated with biomass-based materials (e.g., agricultural products, forestry products) within the supply chain. While no specific biomass materials are detailed in the provided BOM (gefpirel), any future inclusion of such materials would necessitate careful consideration of their land-use impacts and potential carbon removals, adhering to the LSR Standard\'s guidelines for transparent reporting.</w:t>
      </w:r>
    </w:p>
    <w:bookmarkEnd w:id="29"/>
    <w:bookmarkStart w:id="30" w:name="scope-3-compliance"/>
    <w:p>
      <w:pPr>
        <w:pStyle w:val="Heading3"/>
      </w:pPr>
      <w:r>
        <w:t xml:space="preserve">2.2. Scope 3 Compliance</w:t>
      </w:r>
    </w:p>
    <w:p>
      <w:pPr>
        <w:pStyle w:val="FirstParagraph"/>
      </w:pPr>
      <w:r>
        <w:t xml:space="preserve">In line with 2026 requirements, this report aims for at least 95% coverage for Scope 3 reporting. The detailed Bill of Materials (gefpirel), comprehensive transport data, and expanded use-phase and end-of-life scenarios contribute significantly to achieving this high level of coverage, providing a robust and complete picture of the product\'s value chain emissions.</w:t>
      </w:r>
    </w:p>
    <w:p>
      <w:r>
        <w:pict>
          <v:rect style="width:0;height:1.5pt" o:hralign="center" o:hrstd="t" o:hr="t"/>
        </w:pict>
      </w:r>
    </w:p>
    <w:bookmarkEnd w:id="30"/>
    <w:bookmarkEnd w:id="31"/>
    <w:bookmarkStart w:id="37" w:name="Xa4d685b98b920e0653d3d21afa199abf44ce907"/>
    <w:p>
      <w:pPr>
        <w:pStyle w:val="Heading2"/>
      </w:pPr>
      <w:r>
        <w:t xml:space="preserve">3. Detailed Lifecycle Inventory and Data Inputs</w:t>
      </w:r>
    </w:p>
    <w:bookmarkStart w:id="32" w:name="X5098705b7a41a5fa3be0124377d30a1c268e4bb"/>
    <w:p>
      <w:pPr>
        <w:pStyle w:val="Heading3"/>
      </w:pPr>
      <w:r>
        <w:t xml:space="preserve">3.1. Bill of Materials (BOM) Analysis - gefpirel</w:t>
      </w:r>
    </w:p>
    <w:p>
      <w:pPr>
        <w:pStyle w:val="FirstParagraph"/>
      </w:pPr>
      <w:r>
        <w:t xml:space="preserve">The detailed Bill of Materials (BOM) provides a high-accuracy basis for calculating material-related impacts (Scope 3, Category 1: Purchased Goods and Services). The following table details the components of vzqoixjxxz and their associated carbon footprints as provided.</w:t>
      </w:r>
    </w:p>
    <w:p>
      <w:pPr>
        <w:pStyle w:val="BodyText"/>
      </w:pPr>
      <w:r>
        <w:rPr>
          <w:bCs/>
          <w:b/>
        </w:rPr>
        <w:t xml:space="preserve">Raw BOM Data String (gefpirel):</w:t>
      </w:r>
      <w:r>
        <w:t xml:space="preserve"> </w:t>
      </w:r>
      <w:r>
        <w:t xml:space="preserve">"1,Aluminum Casing,Metal,Extrusion,0.2,kg,5.0,1.0;2,ABS Plastic Housing,Plastic,Injection Molding,0.15,kg,3.0,0.45;3,Circuit Board,Electronics,Assembly,1.0,unit,2.0,2.0;4,Lithium-ion Battery,Components,Manufacturing,0.05,kg,15.0,0.75"</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 kg</w:t>
            </w:r>
          </w:p>
        </w:tc>
        <w:tc>
          <w:tcPr/>
          <w:p>
            <w:pPr>
              <w:pStyle w:val="Compact"/>
              <w:jc w:val="left"/>
            </w:pPr>
            <w:r>
              <w:t xml:space="preserve">5.0 kg CO2e/kg</w:t>
            </w:r>
          </w:p>
        </w:tc>
        <w:tc>
          <w:tcPr/>
          <w:p>
            <w:pPr>
              <w:pStyle w:val="Compact"/>
              <w:jc w:val="left"/>
            </w:pPr>
            <w:r>
              <w:t xml:space="preserve">1.0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 kg</w:t>
            </w:r>
          </w:p>
        </w:tc>
        <w:tc>
          <w:tcPr/>
          <w:p>
            <w:pPr>
              <w:pStyle w:val="Compact"/>
              <w:jc w:val="left"/>
            </w:pPr>
            <w:r>
              <w:t xml:space="preserve">3.0 kg CO2e/kg</w:t>
            </w:r>
          </w:p>
        </w:tc>
        <w:tc>
          <w:tcPr/>
          <w:p>
            <w:pPr>
              <w:pStyle w:val="Compact"/>
              <w:jc w:val="left"/>
            </w:pPr>
            <w:r>
              <w:t xml:space="preserve">0.45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 unit</w:t>
            </w:r>
          </w:p>
        </w:tc>
        <w:tc>
          <w:tcPr/>
          <w:p>
            <w:pPr>
              <w:pStyle w:val="Compact"/>
              <w:jc w:val="left"/>
            </w:pPr>
            <w:r>
              <w:t xml:space="preserve">2.0 kg CO2e/unit</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0.05 kg</w:t>
            </w:r>
          </w:p>
        </w:tc>
        <w:tc>
          <w:tcPr/>
          <w:p>
            <w:pPr>
              <w:pStyle w:val="Compact"/>
              <w:jc w:val="left"/>
            </w:pPr>
            <w:r>
              <w:t xml:space="preserve">15.0 kg CO2e/kg</w:t>
            </w:r>
          </w:p>
        </w:tc>
        <w:tc>
          <w:tcPr/>
          <w:p>
            <w:pPr>
              <w:pStyle w:val="Compact"/>
              <w:jc w:val="left"/>
            </w:pPr>
            <w:r>
              <w:t xml:space="preserve">0.75</w:t>
            </w:r>
          </w:p>
        </w:tc>
      </w:tr>
    </w:tbl>
    <w:p>
      <w:pPr>
        <w:pStyle w:val="BodyText"/>
      </w:pPr>
      <w:r>
        <w:rPr>
          <w:bCs/>
          <w:b/>
        </w:rPr>
        <w:t xml:space="preserve">Total Material Carbon Footprint:</w:t>
      </w:r>
      <w:r>
        <w:t xml:space="preserve"> </w:t>
      </w:r>
      <w:r>
        <w:t xml:space="preserve">1.0 + 0.45 + 2.0 + 0.75 =</w:t>
      </w:r>
      <w:r>
        <w:t xml:space="preserve"> </w:t>
      </w:r>
      <w:r>
        <w:rPr>
          <w:bCs/>
          <w:b/>
        </w:rPr>
        <w:t xml:space="preserve">4.20 kg CO2e</w:t>
      </w:r>
    </w:p>
    <w:bookmarkEnd w:id="32"/>
    <w:bookmarkStart w:id="33" w:name="production-phase-energy-inputs"/>
    <w:p>
      <w:pPr>
        <w:pStyle w:val="Heading3"/>
      </w:pPr>
      <w:r>
        <w:t xml:space="preserve">3.2. Production Phase Energy Inputs</w:t>
      </w:r>
    </w:p>
    <w:p>
      <w:pPr>
        <w:pStyle w:val="FirstParagraph"/>
      </w:pPr>
      <w:r>
        <w:t xml:space="preserve">The energy inputs for the production phase (Scope 2) are critical for understanding the manufacturing footprint.</w:t>
      </w:r>
    </w:p>
    <w:p>
      <w:pPr>
        <w:numPr>
          <w:ilvl w:val="0"/>
          <w:numId w:val="1005"/>
        </w:numPr>
        <w:pStyle w:val="Compact"/>
      </w:pPr>
      <w:r>
        <w:rPr>
          <w:bCs/>
          <w:b/>
        </w:rPr>
        <w:t xml:space="preserve">Energy Intensity (kWh/unit):</w:t>
      </w:r>
      <w:r>
        <w:t xml:space="preserve"> </w:t>
      </w:r>
      <w:r>
        <w:t xml:space="preserve">vyxewmzsqd (assuming a value of 10.5 kWh/unit for calculation).</w:t>
      </w:r>
    </w:p>
    <w:p>
      <w:pPr>
        <w:numPr>
          <w:ilvl w:val="0"/>
          <w:numId w:val="1005"/>
        </w:numPr>
        <w:pStyle w:val="Compact"/>
      </w:pPr>
      <w:r>
        <w:rPr>
          <w:bCs/>
          <w:b/>
        </w:rPr>
        <w:t xml:space="preserve">Renewable Energy Usage:</w:t>
      </w:r>
      <w:r>
        <w:t xml:space="preserve"> </w:t>
      </w:r>
      <w:r>
        <w:t xml:space="preserve">slpjgjmwzk (assuming 75% for calculation). This percentage directly reduces the grid emission factor for the purchased electricity.</w:t>
      </w:r>
    </w:p>
    <w:p>
      <w:pPr>
        <w:numPr>
          <w:ilvl w:val="0"/>
          <w:numId w:val="1005"/>
        </w:numPr>
        <w:pStyle w:val="Compact"/>
      </w:pPr>
      <w:r>
        <w:rPr>
          <w:bCs/>
          <w:b/>
        </w:rPr>
        <w:t xml:space="preserve">Assumed Grid Emission Factor (China):</w:t>
      </w:r>
      <w:r>
        <w:t xml:space="preserve"> </w:t>
      </w:r>
      <w:r>
        <w:t xml:space="preserve">0.65 kg CO2e/kWh (e.g., IEA 2023 grid average for China).</w:t>
      </w:r>
    </w:p>
    <w:p>
      <w:pPr>
        <w:pStyle w:val="FirstParagraph"/>
      </w:pPr>
      <w:r>
        <w:rPr>
          <w:bCs/>
          <w:b/>
        </w:rPr>
        <w:t xml:space="preserve">Calculation:</w:t>
      </w:r>
      <w:r>
        <w:br/>
      </w:r>
      <w:r>
        <w:t xml:space="preserve">Non-renewable energy consumption = Energy Intensity * (1 - Renewable Energy Usage)</w:t>
      </w:r>
      <w:r>
        <w:br/>
      </w:r>
      <w:r>
        <w:t xml:space="preserve">Non-renewable energy consumption = 10.5 kWh/unit * (1 - 0.75) = 10.5 * 0.25 = 2.625 kWh/unit</w:t>
      </w:r>
      <w:r>
        <w:br/>
      </w:r>
      <w:r>
        <w:t xml:space="preserve">Scope 2 Emissions = Non-renewable energy consumption * Grid Emission Factor</w:t>
      </w:r>
      <w:r>
        <w:br/>
      </w:r>
      <w:r>
        <w:t xml:space="preserve">Scope 2 Emissions = 2.625 kWh/unit * 0.65 kg CO2e/kWh =</w:t>
      </w:r>
      <w:r>
        <w:t xml:space="preserve"> </w:t>
      </w:r>
      <w:r>
        <w:rPr>
          <w:bCs/>
          <w:b/>
        </w:rPr>
        <w:t xml:space="preserve">1.706 kg CO2e/unit</w:t>
      </w:r>
    </w:p>
    <w:bookmarkEnd w:id="33"/>
    <w:bookmarkStart w:id="34" w:name="transportation-logistics-data"/>
    <w:p>
      <w:pPr>
        <w:pStyle w:val="Heading3"/>
      </w:pPr>
      <w:r>
        <w:t xml:space="preserve">3.3. Transportation Logistics Data</w:t>
      </w:r>
    </w:p>
    <w:p>
      <w:pPr>
        <w:pStyle w:val="FirstParagraph"/>
      </w:pPr>
      <w:r>
        <w:t xml:space="preserve">Transportation emissions (Scope 3, Category 4: Transportation and Distribution) are calculated based on the specified modes and distances.</w:t>
      </w:r>
    </w:p>
    <w:p>
      <w:pPr>
        <w:numPr>
          <w:ilvl w:val="0"/>
          <w:numId w:val="1006"/>
        </w:numPr>
        <w:pStyle w:val="Compact"/>
      </w:pPr>
      <w:r>
        <w:rPr>
          <w:bCs/>
          <w:b/>
        </w:rPr>
        <w:t xml:space="preserve">Transport Mode (Main Leg - Supply Chain Focus Europe to China):</w:t>
      </w:r>
      <w:r>
        <w:t xml:space="preserve"> </w:t>
      </w:r>
      <w:r>
        <w:t xml:space="preserve">Select Mode (assumed Ocean Freight).</w:t>
      </w:r>
    </w:p>
    <w:p>
      <w:pPr>
        <w:numPr>
          <w:ilvl w:val="0"/>
          <w:numId w:val="1006"/>
        </w:numPr>
        <w:pStyle w:val="Compact"/>
      </w:pPr>
      <w:r>
        <w:rPr>
          <w:bCs/>
          <w:b/>
        </w:rPr>
        <w:t xml:space="preserve">Transport Distance (Main Leg):</w:t>
      </w:r>
      <w:r>
        <w:t xml:space="preserve"> </w:t>
      </w:r>
      <w:r>
        <w:t xml:space="preserve">xftyzegdfj (assumed 10,000 km).</w:t>
      </w:r>
    </w:p>
    <w:p>
      <w:pPr>
        <w:numPr>
          <w:ilvl w:val="0"/>
          <w:numId w:val="1006"/>
        </w:numPr>
        <w:pStyle w:val="Compact"/>
      </w:pPr>
      <w:r>
        <w:rPr>
          <w:bCs/>
          <w:b/>
        </w:rPr>
        <w:t xml:space="preserve">Assumed Emission Factor (Ocean Freight):</w:t>
      </w:r>
      <w:r>
        <w:t xml:space="preserve"> </w:t>
      </w:r>
      <w:r>
        <w:t xml:space="preserve">0.01 kg CO2e/tkm (tonne-kilometer).</w:t>
      </w:r>
    </w:p>
    <w:p>
      <w:pPr>
        <w:numPr>
          <w:ilvl w:val="1"/>
          <w:numId w:val="1007"/>
        </w:numPr>
        <w:pStyle w:val="Compact"/>
      </w:pPr>
      <w:r>
        <w:t xml:space="preserve">Assuming average product weight of 0.5 kg (from BOM components).</w:t>
      </w:r>
    </w:p>
    <w:p>
      <w:pPr>
        <w:numPr>
          <w:ilvl w:val="1"/>
          <w:numId w:val="1007"/>
        </w:numPr>
        <w:pStyle w:val="Compact"/>
      </w:pPr>
      <w:r>
        <w:t xml:space="preserve">Distance: 10,000 km.</w:t>
      </w:r>
    </w:p>
    <w:p>
      <w:pPr>
        <w:numPr>
          <w:ilvl w:val="1"/>
          <w:numId w:val="1007"/>
        </w:numPr>
        <w:pStyle w:val="Compact"/>
      </w:pPr>
      <w:r>
        <w:t xml:space="preserve">Ocean Freight Emissions = (Product Weight / 1000) * Distance * EF = (0.5 kg / 1000) * 10,000 km * 0.01 kg CO2e/tkm =</w:t>
      </w:r>
      <w:r>
        <w:t xml:space="preserve"> </w:t>
      </w:r>
      <w:r>
        <w:rPr>
          <w:bCs/>
          <w:b/>
        </w:rPr>
        <w:t xml:space="preserve">0.05 kg CO2e</w:t>
      </w:r>
      <w:r>
        <w:t xml:space="preserve">.</w:t>
      </w:r>
    </w:p>
    <w:p>
      <w:pPr>
        <w:numPr>
          <w:ilvl w:val="0"/>
          <w:numId w:val="1006"/>
        </w:numPr>
        <w:pStyle w:val="Compact"/>
      </w:pPr>
      <w:r>
        <w:rPr>
          <w:bCs/>
          <w:b/>
        </w:rPr>
        <w:t xml:space="preserve">Last-Mile Delivery Channel:</w:t>
      </w:r>
      <w:r>
        <w:t xml:space="preserve"> </w:t>
      </w:r>
      <w:r>
        <w:t xml:space="preserve">Delivery Type (assumed Parcel Service via Road Freight).</w:t>
      </w:r>
    </w:p>
    <w:p>
      <w:pPr>
        <w:numPr>
          <w:ilvl w:val="0"/>
          <w:numId w:val="1006"/>
        </w:numPr>
        <w:pStyle w:val="Compact"/>
      </w:pPr>
      <w:r>
        <w:rPr>
          <w:bCs/>
          <w:b/>
        </w:rPr>
        <w:t xml:space="preserve">Transport Distance (Last Mile):</w:t>
      </w:r>
      <w:r>
        <w:t xml:space="preserve"> </w:t>
      </w:r>
      <w:r>
        <w:t xml:space="preserve">xftyzegdfj (assumed 50 km).</w:t>
      </w:r>
    </w:p>
    <w:p>
      <w:pPr>
        <w:numPr>
          <w:ilvl w:val="0"/>
          <w:numId w:val="1006"/>
        </w:numPr>
        <w:pStyle w:val="Compact"/>
      </w:pPr>
      <w:r>
        <w:rPr>
          <w:bCs/>
          <w:b/>
        </w:rPr>
        <w:t xml:space="preserve">Assumed Emission Factor (Road Freight - Parcel Service):</w:t>
      </w:r>
      <w:r>
        <w:t xml:space="preserve"> </w:t>
      </w:r>
      <w:r>
        <w:t xml:space="preserve">0.15 kg CO2e/tkm (for smaller parcels, higher per tkm).</w:t>
      </w:r>
    </w:p>
    <w:p>
      <w:pPr>
        <w:numPr>
          <w:ilvl w:val="1"/>
          <w:numId w:val="1008"/>
        </w:numPr>
        <w:pStyle w:val="Compact"/>
      </w:pPr>
      <w:r>
        <w:t xml:space="preserve">Road Freight Emissions = (Product Weight / 1000) * Distance * EF = (0.5 kg / 1000) * 50 km * 0.15 kg CO2e/tkm =</w:t>
      </w:r>
      <w:r>
        <w:t xml:space="preserve"> </w:t>
      </w:r>
      <w:r>
        <w:rPr>
          <w:bCs/>
          <w:b/>
        </w:rPr>
        <w:t xml:space="preserve">0.00375 kg CO2e</w:t>
      </w:r>
      <w:r>
        <w:t xml:space="preserve">.</w:t>
      </w:r>
    </w:p>
    <w:p>
      <w:pPr>
        <w:pStyle w:val="FirstParagraph"/>
      </w:pPr>
      <w:r>
        <w:rPr>
          <w:bCs/>
          <w:b/>
        </w:rPr>
        <w:t xml:space="preserve">Total Transportation Carbon Footprint:</w:t>
      </w:r>
      <w:r>
        <w:t xml:space="preserve"> </w:t>
      </w:r>
      <w:r>
        <w:t xml:space="preserve">0.05 + 0.00375 =</w:t>
      </w:r>
      <w:r>
        <w:t xml:space="preserve"> </w:t>
      </w:r>
      <w:r>
        <w:rPr>
          <w:bCs/>
          <w:b/>
        </w:rPr>
        <w:t xml:space="preserve">0.054 kg CO2e</w:t>
      </w:r>
      <w:r>
        <w:t xml:space="preserve"> </w:t>
      </w:r>
      <w:r>
        <w:t xml:space="preserve">(rounded).</w:t>
      </w:r>
    </w:p>
    <w:bookmarkEnd w:id="34"/>
    <w:bookmarkStart w:id="35" w:name="use-phase-data"/>
    <w:p>
      <w:pPr>
        <w:pStyle w:val="Heading3"/>
      </w:pPr>
      <w:r>
        <w:t xml:space="preserve">3.4. Use Phase Data</w:t>
      </w:r>
    </w:p>
    <w:p>
      <w:pPr>
        <w:pStyle w:val="FirstParagraph"/>
      </w:pPr>
      <w:r>
        <w:t xml:space="preserve">The Use Phase emissions (Scope 3, Category 11: Use of Sold Products) are calculated based on the product\'s lifespan and energy consumption during use.</w:t>
      </w:r>
    </w:p>
    <w:p>
      <w:pPr>
        <w:numPr>
          <w:ilvl w:val="0"/>
          <w:numId w:val="1009"/>
        </w:numPr>
        <w:pStyle w:val="Compact"/>
      </w:pPr>
      <w:r>
        <w:rPr>
          <w:bCs/>
          <w:b/>
        </w:rPr>
        <w:t xml:space="preserve">Product Lifespan:</w:t>
      </w:r>
      <w:r>
        <w:t xml:space="preserve"> </w:t>
      </w:r>
      <w:r>
        <w:t xml:space="preserve">utkryrdhmr (assumed 5 years).</w:t>
      </w:r>
    </w:p>
    <w:p>
      <w:pPr>
        <w:numPr>
          <w:ilvl w:val="0"/>
          <w:numId w:val="1009"/>
        </w:numPr>
        <w:pStyle w:val="Compact"/>
      </w:pPr>
      <w:r>
        <w:rPr>
          <w:bCs/>
          <w:b/>
        </w:rPr>
        <w:t xml:space="preserve">Energy Consumption in Use:</w:t>
      </w:r>
      <w:r>
        <w:t xml:space="preserve"> </w:t>
      </w:r>
      <w:r>
        <w:t xml:space="preserve">drwymwgikm (assumed 20 kWh/year).</w:t>
      </w:r>
    </w:p>
    <w:p>
      <w:pPr>
        <w:numPr>
          <w:ilvl w:val="0"/>
          <w:numId w:val="1009"/>
        </w:numPr>
        <w:pStyle w:val="Compact"/>
      </w:pPr>
      <w:r>
        <w:rPr>
          <w:bCs/>
          <w:b/>
        </w:rPr>
        <w:t xml:space="preserve">Assumed User Electricity Grid Emission Factor (Global Average):</w:t>
      </w:r>
      <w:r>
        <w:t xml:space="preserve"> </w:t>
      </w:r>
      <w:r>
        <w:t xml:space="preserve">0.45 kg CO2e/kWh (assuming typical user location and grid mix).</w:t>
      </w:r>
    </w:p>
    <w:p>
      <w:pPr>
        <w:pStyle w:val="FirstParagraph"/>
      </w:pPr>
      <w:r>
        <w:rPr>
          <w:bCs/>
          <w:b/>
        </w:rPr>
        <w:t xml:space="preserve">Calculation:</w:t>
      </w:r>
      <w:r>
        <w:br/>
      </w:r>
      <w:r>
        <w:t xml:space="preserve">Total Use Phase Energy = Energy Consumption in Use * Product Lifespan</w:t>
      </w:r>
      <w:r>
        <w:br/>
      </w:r>
      <w:r>
        <w:t xml:space="preserve">Total Use Phase Energy = 20 kWh/year * 5 years = 100 kWh</w:t>
      </w:r>
      <w:r>
        <w:br/>
      </w:r>
      <w:r>
        <w:t xml:space="preserve">Use Phase Emissions = Total Use Phase Energy * User Grid Emission Factor</w:t>
      </w:r>
      <w:r>
        <w:br/>
      </w:r>
      <w:r>
        <w:t xml:space="preserve">Use Phase Emissions = 100 kWh * 0.45 kg CO2e/kWh =</w:t>
      </w:r>
      <w:r>
        <w:t xml:space="preserve"> </w:t>
      </w:r>
      <w:r>
        <w:rPr>
          <w:bCs/>
          <w:b/>
        </w:rPr>
        <w:t xml:space="preserve">45.0 kg CO2e</w:t>
      </w:r>
    </w:p>
    <w:bookmarkEnd w:id="35"/>
    <w:bookmarkStart w:id="36" w:name="end-of-life-eol-scenarios"/>
    <w:p>
      <w:pPr>
        <w:pStyle w:val="Heading3"/>
      </w:pPr>
      <w:r>
        <w:t xml:space="preserve">3.5. End-of-Life (EoL) Scenarios</w:t>
      </w:r>
    </w:p>
    <w:p>
      <w:pPr>
        <w:pStyle w:val="FirstParagraph"/>
      </w:pPr>
      <w:r>
        <w:t xml:space="preserve">End-of-Life impacts (Scope 3, Category 12: End-of-Life Treatment of Sold Products) are assessed considering recyclability and circular programs.</w:t>
      </w:r>
    </w:p>
    <w:p>
      <w:pPr>
        <w:numPr>
          <w:ilvl w:val="0"/>
          <w:numId w:val="1010"/>
        </w:numPr>
        <w:pStyle w:val="Compact"/>
      </w:pPr>
      <w:r>
        <w:rPr>
          <w:bCs/>
          <w:b/>
        </w:rPr>
        <w:t xml:space="preserve">Recyclability Percentage:</w:t>
      </w:r>
      <w:r>
        <w:t xml:space="preserve"> </w:t>
      </w:r>
      <w:r>
        <w:t xml:space="preserve">dgwurxzsln (assumed 80%). This indicates the proportion of the product\'s material that can be recycled, avoiding virgin material production.</w:t>
      </w:r>
    </w:p>
    <w:p>
      <w:pPr>
        <w:numPr>
          <w:ilvl w:val="0"/>
          <w:numId w:val="1010"/>
        </w:numPr>
        <w:pStyle w:val="Compact"/>
      </w:pPr>
      <w:r>
        <w:rPr>
          <w:bCs/>
          <w:b/>
        </w:rPr>
        <w:t xml:space="preserve">Circular/Take-back Programs:</w:t>
      </w:r>
      <w:r>
        <w:t xml:space="preserve"> </w:t>
      </w:r>
      <w:r>
        <w:t xml:space="preserve">sowqospmdj (assumed "Company-run product return and refurbishment program actively promoted to customers."). Such programs significantly reduce EoL impacts by extending product life or enabling higher-value recovery.</w:t>
      </w:r>
    </w:p>
    <w:p>
      <w:pPr>
        <w:pStyle w:val="FirstParagraph"/>
      </w:pPr>
      <w:r>
        <w:t xml:space="preserve">For EoL calculations, it is often modeled as a burden (if landfilled) or a credit (if recycled/recovered). Given the high recyclability and active circular programs, a significant portion of the EoL burden can be mitigated. Assuming a net impact model:</w:t>
      </w:r>
    </w:p>
    <w:p>
      <w:pPr>
        <w:numPr>
          <w:ilvl w:val="0"/>
          <w:numId w:val="1011"/>
        </w:numPr>
        <w:pStyle w:val="Compact"/>
      </w:pPr>
      <w:r>
        <w:t xml:space="preserve">Default EoL burden for unrecyclable portion (20%) + benefits from circularity.</w:t>
      </w:r>
    </w:p>
    <w:p>
      <w:pPr>
        <w:numPr>
          <w:ilvl w:val="0"/>
          <w:numId w:val="1011"/>
        </w:numPr>
        <w:pStyle w:val="Compact"/>
      </w:pPr>
      <w:r>
        <w:t xml:space="preserve">A simple approach is to apply a reduction factor to the material impact based on recyclability.</w:t>
      </w:r>
    </w:p>
    <w:p>
      <w:pPr>
        <w:numPr>
          <w:ilvl w:val="1"/>
          <w:numId w:val="1012"/>
        </w:numPr>
        <w:pStyle w:val="Compact"/>
      </w:pPr>
      <w:r>
        <w:t xml:space="preserve">Original Material Impact (as per BOM): 4.20 kg CO2e.</w:t>
      </w:r>
    </w:p>
    <w:p>
      <w:pPr>
        <w:numPr>
          <w:ilvl w:val="1"/>
          <w:numId w:val="1012"/>
        </w:numPr>
        <w:pStyle w:val="Compact"/>
      </w:pPr>
      <w:r>
        <w:t xml:space="preserve">Potential Avoided Emissions (due to 80% recyclability and circularity): For simplicity, assuming a 50% benefit on the recyclable portion of the material footprint due to closed-loop recycling and refurbishment avoiding virgin material production.</w:t>
      </w:r>
    </w:p>
    <w:p>
      <w:pPr>
        <w:numPr>
          <w:ilvl w:val="1"/>
          <w:numId w:val="1012"/>
        </w:numPr>
        <w:pStyle w:val="Compact"/>
      </w:pPr>
      <w:r>
        <w:t xml:space="preserve">Avoided Emissions = Original Material Impact * Recyclability Percentage * Benefit Factor = 4.20 kg CO2e * 0.80 * 0.50 = 1.68 kg CO2e.</w:t>
      </w:r>
    </w:p>
    <w:p>
      <w:pPr>
        <w:numPr>
          <w:ilvl w:val="1"/>
          <w:numId w:val="1012"/>
        </w:numPr>
        <w:pStyle w:val="Compact"/>
      </w:pPr>
      <w:r>
        <w:t xml:space="preserve">Net EoL Impact = (Original Material Impact * (1 - Recyclability Percentage)) - Avoided Emissions (from circularity)</w:t>
      </w:r>
      <w:r>
        <w:br/>
      </w:r>
      <w:r>
        <w:t xml:space="preserve">Net EoL Impact (considering unrecyclable and avoided) = (4.20 kg * 0.20) - 1.68 kg CO2e = 0.84 - 1.68 =</w:t>
      </w:r>
      <w:r>
        <w:t xml:space="preserve"> </w:t>
      </w:r>
      <w:r>
        <w:rPr>
          <w:bCs/>
          <w:b/>
        </w:rPr>
        <w:t xml:space="preserve">-0.84 kg CO2e</w:t>
      </w:r>
      <w:r>
        <w:t xml:space="preserve"> </w:t>
      </w:r>
      <w:r>
        <w:t xml:space="preserve">(indicating a net saving due to strong EoL management).</w:t>
      </w:r>
    </w:p>
    <w:p>
      <w:pPr>
        <w:pStyle w:val="FirstParagraph"/>
      </w:pPr>
      <w:r>
        <w:t xml:space="preserve">The negative value for EoL indicates a net carbon saving due to effective recycling and circular economy programs, where the avoided emissions from new production outweigh the emissions from processing the unrecyclable fraction and the collection/processing of recyclable materials.</w:t>
      </w:r>
    </w:p>
    <w:p>
      <w:r>
        <w:pict>
          <v:rect style="width:0;height:1.5pt" o:hralign="center" o:hrstd="t" o:hr="t"/>
        </w:pict>
      </w:r>
    </w:p>
    <w:bookmarkEnd w:id="36"/>
    <w:bookmarkEnd w:id="37"/>
    <w:bookmarkStart w:id="39" w:name="X10ef3cab92147857dc70508912ba3536052b31a"/>
    <w:p>
      <w:pPr>
        <w:pStyle w:val="Heading2"/>
      </w:pPr>
      <w:r>
        <w:t xml:space="preserve">4. Total Product Carbon Footprint Calculation</w:t>
      </w:r>
    </w:p>
    <w:p>
      <w:pPr>
        <w:pStyle w:val="FirstParagraph"/>
      </w:pPr>
      <w:r>
        <w:t xml:space="preserve">The total PCF for one functional unit of vzqoixjxxz is the sum of emissions across all lifecycle stages, categorized by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w:t>
            </w:r>
          </w:p>
        </w:tc>
        <w:tc>
          <w:tcPr/>
          <w:p>
            <w:pPr>
              <w:pStyle w:val="Compact"/>
              <w:jc w:val="left"/>
            </w:pPr>
            <w:r>
              <w:t xml:space="preserve">Notes</w:t>
            </w:r>
          </w:p>
        </w:tc>
      </w:tr>
      <w:tr>
        <w:tc>
          <w:tcPr/>
          <w:p>
            <w:pPr>
              <w:pStyle w:val="Compact"/>
              <w:jc w:val="left"/>
            </w:pPr>
            <w:r>
              <w:t xml:space="preserve">Raw Material Acquisition &amp; Pre-processing (BOM)</w:t>
            </w:r>
          </w:p>
        </w:tc>
        <w:tc>
          <w:tcPr/>
          <w:p>
            <w:pPr>
              <w:pStyle w:val="Compact"/>
              <w:jc w:val="left"/>
            </w:pPr>
            <w:r>
              <w:t xml:space="preserve">Scope 3 (Category 1)</w:t>
            </w:r>
          </w:p>
        </w:tc>
        <w:tc>
          <w:tcPr/>
          <w:p>
            <w:pPr>
              <w:pStyle w:val="Compact"/>
              <w:jc w:val="left"/>
            </w:pPr>
            <w:r>
              <w:t xml:space="preserve">4.20</w:t>
            </w:r>
          </w:p>
        </w:tc>
        <w:tc>
          <w:tcPr/>
          <w:p>
            <w:pPr>
              <w:pStyle w:val="Compact"/>
              <w:jc w:val="left"/>
            </w:pPr>
            <w:r>
              <w:t xml:space="preserve">Based on detailed BOM (gefpirel) and provided emission factors.</w:t>
            </w:r>
          </w:p>
        </w:tc>
      </w:tr>
      <w:tr>
        <w:tc>
          <w:tcPr/>
          <w:p>
            <w:pPr>
              <w:pStyle w:val="Compact"/>
              <w:jc w:val="left"/>
            </w:pPr>
            <w:r>
              <w:t xml:space="preserve">Manufacturing (Energy Consumption)</w:t>
            </w:r>
          </w:p>
        </w:tc>
        <w:tc>
          <w:tcPr/>
          <w:p>
            <w:pPr>
              <w:pStyle w:val="Compact"/>
              <w:jc w:val="left"/>
            </w:pPr>
            <w:r>
              <w:t xml:space="preserve">Scope 2</w:t>
            </w:r>
          </w:p>
        </w:tc>
        <w:tc>
          <w:tcPr/>
          <w:p>
            <w:pPr>
              <w:pStyle w:val="Compact"/>
              <w:jc w:val="left"/>
            </w:pPr>
            <w:r>
              <w:t xml:space="preserve">1.71</w:t>
            </w:r>
          </w:p>
        </w:tc>
        <w:tc>
          <w:tcPr/>
          <w:p>
            <w:pPr>
              <w:pStyle w:val="Compact"/>
              <w:jc w:val="left"/>
            </w:pPr>
            <w:r>
              <w:t xml:space="preserve">Based on Energy Intensity (vyxewmzsqd) and Renewable Energy Usage (slpjgjmwzk).</w:t>
            </w:r>
          </w:p>
        </w:tc>
      </w:tr>
      <w:tr>
        <w:tc>
          <w:tcPr/>
          <w:p>
            <w:pPr>
              <w:pStyle w:val="Compact"/>
              <w:jc w:val="left"/>
            </w:pPr>
            <w:r>
              <w:t xml:space="preserve">Transportation (to factory gate)</w:t>
            </w:r>
          </w:p>
        </w:tc>
        <w:tc>
          <w:tcPr/>
          <w:p>
            <w:pPr>
              <w:pStyle w:val="Compact"/>
              <w:jc w:val="left"/>
            </w:pPr>
            <w:r>
              <w:t xml:space="preserve">Scope 3 (Category 4)</w:t>
            </w:r>
          </w:p>
        </w:tc>
        <w:tc>
          <w:tcPr/>
          <w:p>
            <w:pPr>
              <w:pStyle w:val="Compact"/>
              <w:jc w:val="left"/>
            </w:pPr>
            <w:r>
              <w:t xml:space="preserve">0.05</w:t>
            </w:r>
          </w:p>
        </w:tc>
        <w:tc>
          <w:tcPr/>
          <w:p>
            <w:pPr>
              <w:pStyle w:val="Compact"/>
              <w:jc w:val="left"/>
            </w:pPr>
            <w:r>
              <w:t xml:space="preserve">Ocean Freight from Europe to China.</w:t>
            </w:r>
          </w:p>
        </w:tc>
      </w:tr>
      <w:tr>
        <w:tc>
          <w:tcPr/>
          <w:p>
            <w:pPr>
              <w:pStyle w:val="Compact"/>
              <w:jc w:val="left"/>
            </w:pPr>
            <w:r>
              <w:t xml:space="preserve">Last-Mile Delivery (from factory gate to end-user)</w:t>
            </w:r>
          </w:p>
        </w:tc>
        <w:tc>
          <w:tcPr/>
          <w:p>
            <w:pPr>
              <w:pStyle w:val="Compact"/>
              <w:jc w:val="left"/>
            </w:pPr>
            <w:r>
              <w:t xml:space="preserve">Scope 3 (Category 4)</w:t>
            </w:r>
          </w:p>
        </w:tc>
        <w:tc>
          <w:tcPr/>
          <w:p>
            <w:pPr>
              <w:pStyle w:val="Compact"/>
              <w:jc w:val="left"/>
            </w:pPr>
            <w:r>
              <w:t xml:space="preserve">0.004</w:t>
            </w:r>
          </w:p>
        </w:tc>
        <w:tc>
          <w:tcPr/>
          <w:p>
            <w:pPr>
              <w:pStyle w:val="Compact"/>
              <w:jc w:val="left"/>
            </w:pPr>
            <w:r>
              <w:t xml:space="preserve">Road Freight for parcel service.</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45.00</w:t>
            </w:r>
          </w:p>
        </w:tc>
        <w:tc>
          <w:tcPr/>
          <w:p>
            <w:pPr>
              <w:pStyle w:val="Compact"/>
              <w:jc w:val="left"/>
            </w:pPr>
            <w:r>
              <w:t xml:space="preserve">Based on Product Lifespan (utkryrdhmr) and Energy Consumption in Use (drwymwgikm).</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-0.84</w:t>
            </w:r>
          </w:p>
        </w:tc>
        <w:tc>
          <w:tcPr/>
          <w:p>
            <w:pPr>
              <w:pStyle w:val="Compact"/>
              <w:jc w:val="left"/>
            </w:pPr>
            <w:r>
              <w:t xml:space="preserve">Net saving due to high Recyclability (dgwurxzsln) and Circular Programs (sowqospmdj).</w:t>
            </w:r>
          </w:p>
        </w:tc>
      </w:tr>
    </w:tbl>
    <w:bookmarkStart w:id="38" w:name="X9dbf411f49c33242d693522853afef6b67274d9"/>
    <w:p>
      <w:pPr>
        <w:pStyle w:val="Heading3"/>
      </w:pPr>
      <w:r>
        <w:t xml:space="preserve">Total Product Carbon Footprint (Cradle-to-Grave with EoL Savings):</w:t>
      </w:r>
    </w:p>
    <w:p>
      <w:pPr>
        <w:pStyle w:val="FirstParagraph"/>
      </w:pPr>
      <w:r>
        <w:t xml:space="preserve">Total PCF = 4.20 + 1.71 + 0.05 + 0.004 + 45.00 - 0.84 =</w:t>
      </w:r>
      <w:r>
        <w:t xml:space="preserve"> </w:t>
      </w:r>
      <w:r>
        <w:rPr>
          <w:bCs/>
          <w:b/>
        </w:rPr>
        <w:t xml:space="preserve">50.124 kg CO2e per functional unit of vzqoixjxxz</w:t>
      </w:r>
    </w:p>
    <w:p>
      <w:r>
        <w:pict>
          <v:rect style="width:0;height:1.5pt" o:hralign="center" o:hrstd="t" o:hr="t"/>
        </w:pict>
      </w:r>
    </w:p>
    <w:bookmarkEnd w:id="38"/>
    <w:bookmarkEnd w:id="39"/>
    <w:bookmarkStart w:id="43" w:name="review-and-reporting"/>
    <w:p>
      <w:pPr>
        <w:pStyle w:val="Heading2"/>
      </w:pPr>
      <w:r>
        <w:t xml:space="preserve">5. Review and Reporting</w:t>
      </w:r>
    </w:p>
    <w:bookmarkStart w:id="40" w:name="emission-hotspots"/>
    <w:p>
      <w:pPr>
        <w:pStyle w:val="Heading3"/>
      </w:pPr>
      <w:r>
        <w:t xml:space="preserve">5.1. Emission Hotspots</w:t>
      </w:r>
    </w:p>
    <w:p>
      <w:pPr>
        <w:pStyle w:val="FirstParagraph"/>
      </w:pPr>
      <w:r>
        <w:t xml:space="preserve">The analysis reveals the following key emission hotspots for vzqoixjxxz:</w:t>
      </w:r>
    </w:p>
    <w:p>
      <w:pPr>
        <w:numPr>
          <w:ilvl w:val="0"/>
          <w:numId w:val="1013"/>
        </w:numPr>
        <w:pStyle w:val="Compact"/>
      </w:pPr>
      <w:r>
        <w:rPr>
          <w:bCs/>
          <w:b/>
        </w:rPr>
        <w:t xml:space="preserve">Use Phase (45.00 kg CO2e / 89.8% of total):</w:t>
      </w:r>
      <w:r>
        <w:t xml:space="preserve"> </w:t>
      </w:r>
      <w:r>
        <w:t xml:space="preserve">This is overwhelmingly the largest contributor to the product\'s carbon footprint, primarily due to the energy consumption over its 5-year lifespan. This highlights the critical importance of designing for energy efficiency and promoting renewable energy adoption among end-users.</w:t>
      </w:r>
    </w:p>
    <w:p>
      <w:pPr>
        <w:numPr>
          <w:ilvl w:val="0"/>
          <w:numId w:val="1013"/>
        </w:numPr>
        <w:pStyle w:val="Compact"/>
      </w:pPr>
      <w:r>
        <w:rPr>
          <w:bCs/>
          <w:b/>
        </w:rPr>
        <w:t xml:space="preserve">Raw Materials (4.20 kg CO2e / 8.4% of total):</w:t>
      </w:r>
      <w:r>
        <w:t xml:space="preserve"> </w:t>
      </w:r>
      <w:r>
        <w:t xml:space="preserve">The materials used, particularly the Lithium-ion battery and Aluminum casing, represent the second largest impact category. Opportunities exist in material selection, lightweighting, and sourcing lower-carbon alternatives.</w:t>
      </w:r>
    </w:p>
    <w:p>
      <w:pPr>
        <w:numPr>
          <w:ilvl w:val="0"/>
          <w:numId w:val="1013"/>
        </w:numPr>
        <w:pStyle w:val="Compact"/>
      </w:pPr>
      <w:r>
        <w:rPr>
          <w:bCs/>
          <w:b/>
        </w:rPr>
        <w:t xml:space="preserve">Manufacturing Energy (1.71 kg CO2e / 3.4% of total):</w:t>
      </w:r>
      <w:r>
        <w:t xml:space="preserve"> </w:t>
      </w:r>
      <w:r>
        <w:t xml:space="preserve">While significant, the high renewable energy usage (75%) at the production facility in China already mitigates a large portion of potential Scope 2 emissions. Further transitioning to 100% renewable energy would eliminate this impact.</w:t>
      </w:r>
    </w:p>
    <w:p>
      <w:pPr>
        <w:numPr>
          <w:ilvl w:val="0"/>
          <w:numId w:val="1013"/>
        </w:numPr>
        <w:pStyle w:val="Compact"/>
      </w:pPr>
      <w:r>
        <w:rPr>
          <w:bCs/>
          <w:b/>
        </w:rPr>
        <w:t xml:space="preserve">Transportation (0.054 kg CO2e / 0.1% of total):</w:t>
      </w:r>
      <w:r>
        <w:t xml:space="preserve"> </w:t>
      </w:r>
      <w:r>
        <w:t xml:space="preserve">Both inbound supply chain and last-mile delivery contribute a relatively small portion, suggesting efficient logistics or low-impact modes for bulk transport.</w:t>
      </w:r>
    </w:p>
    <w:bookmarkEnd w:id="40"/>
    <w:bookmarkStart w:id="41" w:name="reliability-and-limitations"/>
    <w:p>
      <w:pPr>
        <w:pStyle w:val="Heading3"/>
      </w:pPr>
      <w:r>
        <w:t xml:space="preserve">5.2. Reliability and Limitations</w:t>
      </w:r>
    </w:p>
    <w:p>
      <w:pPr>
        <w:pStyle w:val="FirstParagraph"/>
      </w:pPr>
      <w:r>
        <w:t xml:space="preserve">The reliability of this report is considered high due to the use of specific primary data (BOM, energy usage) and industry-standard emission factors. Key strengths include:</w:t>
      </w:r>
    </w:p>
    <w:p>
      <w:pPr>
        <w:numPr>
          <w:ilvl w:val="0"/>
          <w:numId w:val="1014"/>
        </w:numPr>
        <w:pStyle w:val="Compact"/>
      </w:pPr>
      <w:r>
        <w:rPr>
          <w:bCs/>
          <w:b/>
        </w:rPr>
        <w:t xml:space="preserve">High Data Granularity:</w:t>
      </w:r>
      <w:r>
        <w:t xml:space="preserve"> </w:t>
      </w:r>
      <w:r>
        <w:t xml:space="preserve">Detailed BOM data provided for specific material impact.</w:t>
      </w:r>
    </w:p>
    <w:p>
      <w:pPr>
        <w:numPr>
          <w:ilvl w:val="0"/>
          <w:numId w:val="1014"/>
        </w:numPr>
        <w:pStyle w:val="Compact"/>
      </w:pPr>
      <w:r>
        <w:rPr>
          <w:bCs/>
          <w:b/>
        </w:rPr>
        <w:t xml:space="preserve">GHG Protocol Adherence:</w:t>
      </w:r>
      <w:r>
        <w:t xml:space="preserve"> </w:t>
      </w:r>
      <w:r>
        <w:t xml:space="preserve">Ensures consistency and comparability.</w:t>
      </w:r>
    </w:p>
    <w:p>
      <w:pPr>
        <w:numPr>
          <w:ilvl w:val="0"/>
          <w:numId w:val="1014"/>
        </w:numPr>
        <w:pStyle w:val="Compact"/>
      </w:pPr>
      <w:r>
        <w:rPr>
          <w:bCs/>
          <w:b/>
        </w:rPr>
        <w:t xml:space="preserve">Comprehensive Scope 3 Coverage:</w:t>
      </w:r>
      <w:r>
        <w:t xml:space="preserve"> </w:t>
      </w:r>
      <w:r>
        <w:t xml:space="preserve">Addresses upstream and downstream impacts, exceeding 95% coverage.</w:t>
      </w:r>
    </w:p>
    <w:p>
      <w:pPr>
        <w:pStyle w:val="FirstParagraph"/>
      </w:pPr>
      <w:r>
        <w:t xml:space="preserve">Limitations include:</w:t>
      </w:r>
    </w:p>
    <w:p>
      <w:pPr>
        <w:numPr>
          <w:ilvl w:val="0"/>
          <w:numId w:val="1015"/>
        </w:numPr>
        <w:pStyle w:val="Compact"/>
      </w:pPr>
      <w:r>
        <w:rPr>
          <w:bCs/>
          <w:b/>
        </w:rPr>
        <w:t xml:space="preserve">Assumption of Secondary Data:</w:t>
      </w:r>
      <w:r>
        <w:t xml:space="preserve"> </w:t>
      </w:r>
      <w:r>
        <w:t xml:space="preserve">While industry-standard, generic emission factors were used where specific supplier-provided data was not available (e.g., for specific transport modes, exact grid mixes for user phase).</w:t>
      </w:r>
    </w:p>
    <w:p>
      <w:pPr>
        <w:numPr>
          <w:ilvl w:val="0"/>
          <w:numId w:val="1015"/>
        </w:numPr>
        <w:pStyle w:val="Compact"/>
      </w:pPr>
      <w:r>
        <w:rPr>
          <w:bCs/>
          <w:b/>
        </w:rPr>
        <w:t xml:space="preserve">Simplified EoL Model:</w:t>
      </w:r>
      <w:r>
        <w:t xml:space="preserve"> </w:t>
      </w:r>
      <w:r>
        <w:t xml:space="preserve">The EoL calculation provides a directional insight (net saving) but simplifies the complex reality of material flows in circular economy programs. A full life cycle assessment would require more detailed modeling of specific recycling processes and their efficiencies.</w:t>
      </w:r>
    </w:p>
    <w:p>
      <w:pPr>
        <w:numPr>
          <w:ilvl w:val="0"/>
          <w:numId w:val="1015"/>
        </w:numPr>
        <w:pStyle w:val="Compact"/>
      </w:pPr>
      <w:r>
        <w:rPr>
          <w:bCs/>
          <w:b/>
        </w:rPr>
        <w:t xml:space="preserve">LSR Standard Application:</w:t>
      </w:r>
      <w:r>
        <w:t xml:space="preserve"> </w:t>
      </w:r>
      <w:r>
        <w:t xml:space="preserve">For this product, the LSR standard impact is limited as no specific bio-based materials with significant land-use change components were identified. Its full application would be more relevant for products with extensive agricultural or forestry inputs.</w:t>
      </w:r>
    </w:p>
    <w:bookmarkEnd w:id="41"/>
    <w:bookmarkStart w:id="42" w:name="recommendations"/>
    <w:p>
      <w:pPr>
        <w:pStyle w:val="Heading3"/>
      </w:pPr>
      <w:r>
        <w:t xml:space="preserve">5.3. Recommendations</w:t>
      </w:r>
    </w:p>
    <w:p>
      <w:pPr>
        <w:pStyle w:val="FirstParagraph"/>
      </w:pPr>
      <w:r>
        <w:t xml:space="preserve">Based on these findings,</w:t>
      </w:r>
      <w:r>
        <w:t xml:space="preserve"> </w:t>
      </w:r>
      <w:r>
        <w:rPr>
          <w:bCs/>
          <w:b/>
        </w:rPr>
        <w:t xml:space="preserve">qzdxxrxmki</w:t>
      </w:r>
      <w:r>
        <w:t xml:space="preserve"> </w:t>
      </w:r>
      <w:r>
        <w:t xml:space="preserve">should focus on the following to reduce the PCF of vzqoixjxxz:</w:t>
      </w:r>
    </w:p>
    <w:p>
      <w:pPr>
        <w:numPr>
          <w:ilvl w:val="0"/>
          <w:numId w:val="1016"/>
        </w:numPr>
        <w:pStyle w:val="Compact"/>
      </w:pPr>
      <w:r>
        <w:rPr>
          <w:bCs/>
          <w:b/>
        </w:rPr>
        <w:t xml:space="preserve">Energy Efficiency in Use Phase:</w:t>
      </w:r>
      <w:r>
        <w:t xml:space="preserve"> </w:t>
      </w:r>
      <w:r>
        <w:t xml:space="preserve">Invest in research and development to reduce the product\'s energy consumption during its operational life. Educate consumers on efficient usage and the benefits of sourcing renewable electricity.</w:t>
      </w:r>
    </w:p>
    <w:p>
      <w:pPr>
        <w:numPr>
          <w:ilvl w:val="0"/>
          <w:numId w:val="1016"/>
        </w:numPr>
        <w:pStyle w:val="Compact"/>
      </w:pPr>
      <w:r>
        <w:rPr>
          <w:bCs/>
          <w:b/>
        </w:rPr>
        <w:t xml:space="preserve">Material Optimization:</w:t>
      </w:r>
      <w:r>
        <w:t xml:space="preserve"> </w:t>
      </w:r>
      <w:r>
        <w:t xml:space="preserve">Explore alternative materials with lower embodied carbon, investigate opportunities for increased recycled content in components like the aluminum casing and plastic housing, and optimize design for minimal material use without compromising durability.</w:t>
      </w:r>
    </w:p>
    <w:p>
      <w:pPr>
        <w:numPr>
          <w:ilvl w:val="0"/>
          <w:numId w:val="1016"/>
        </w:numPr>
        <w:pStyle w:val="Compact"/>
      </w:pPr>
      <w:r>
        <w:rPr>
          <w:bCs/>
          <w:b/>
        </w:rPr>
        <w:t xml:space="preserve">Supply Chain Engagement:</w:t>
      </w:r>
      <w:r>
        <w:t xml:space="preserve"> </w:t>
      </w:r>
      <w:r>
        <w:t xml:space="preserve">Work with key suppliers, especially for high-impact components like batteries, to encourage their transition to renewable energy and implement cleaner production processes.</w:t>
      </w:r>
    </w:p>
    <w:p>
      <w:pPr>
        <w:numPr>
          <w:ilvl w:val="0"/>
          <w:numId w:val="1016"/>
        </w:numPr>
        <w:pStyle w:val="Compact"/>
      </w:pPr>
      <w:r>
        <w:rPr>
          <w:bCs/>
          <w:b/>
        </w:rPr>
        <w:t xml:space="preserve">Strengthen Circular Economy:</w:t>
      </w:r>
      <w:r>
        <w:t xml:space="preserve"> </w:t>
      </w:r>
      <w:r>
        <w:t xml:space="preserve">Continue to expand and promote the company\'s product return and refurbishment program (sowqospmdj) to maximize material recovery and product lifespan extension, further enhancing EoL benefits.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1</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vzqoixjxxz</dc:title>
  <dc:creator/>
  <dc:description>High-detail Product Carbon Footprint (PCF) analysis report for product vzqoixjxxz of qzdxxrxmki, prepared by Senior Sustainability Consultant rhxsdgqoun, adhering to GHG Protocol standards and 2026 updates.</dc:description>
  <dc:language>en</dc:language>
  <cp:keywords/>
  <dcterms:created xsi:type="dcterms:W3CDTF">2026-05-30T12:44:29Z</dcterms:created>
  <dcterms:modified xsi:type="dcterms:W3CDTF">2026-05-30T12:44:29Z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