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vzizhmkjxk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vzizhmkjxk</w:t>
      </w:r>
    </w:p>
    <w:p>
      <w:pPr>
        <w:pStyle w:val="BodyText"/>
      </w:pPr>
      <w:r>
        <w:rPr>
          <w:bCs/>
          <w:b/>
        </w:rPr>
        <w:t xml:space="preserve">Company:</w:t>
      </w:r>
      <w:r>
        <w:t xml:space="preserve"> </w:t>
      </w:r>
      <w:r>
        <w:t xml:space="preserve">mryqkguqox</w:t>
      </w:r>
    </w:p>
    <w:p>
      <w:pPr>
        <w:pStyle w:val="BodyText"/>
      </w:pPr>
      <w:r>
        <w:rPr>
          <w:bCs/>
          <w:b/>
        </w:rPr>
        <w:t xml:space="preserve">Senior Sustainability Consultant:</w:t>
      </w:r>
      <w:r>
        <w:t xml:space="preserve"> </w:t>
      </w:r>
      <w:r>
        <w:t xml:space="preserve">krggsngzkp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made for illustrative purposes are clearly stated within the report.</w:t>
      </w:r>
    </w:p>
    <w:bookmarkEnd w:id="20"/>
    <w:bookmarkStart w:id="21" w:name="Xd2850b066b3c2ee8a0f108fd7c1fb2251141676"/>
    <w:p>
      <w:pPr>
        <w:pStyle w:val="Heading1"/>
      </w:pPr>
      <w:r>
        <w:t xml:space="preserve">Product Carbon Footprint Analysis Report: vzizhmkjxk</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"vzizhmkjxk" manufactured by "mryqkguqox". The analysis was conducted by Senior Sustainability Consultant "krggsngzkp", adhering strictly to the GHG Protocol accounting standard. The primary goal is to quantify the greenhouse gas (GHG) emissions associated with the product\'s entire lifecycle, from material acquisition to end-of-life, to identify emission hotspots and inform strategic decarbonization efforts.</w:t>
      </w:r>
    </w:p>
    <w:p>
      <w:pPr>
        <w:pStyle w:val="BodyText"/>
      </w:pPr>
      <w:r>
        <w:t xml:space="preserve">The total Product Carbon Footprint for one functional unit of vzizhmkjxk is calculated to be</w:t>
      </w:r>
      <w:r>
        <w:t xml:space="preserve"> </w:t>
      </w:r>
      <w:r>
        <w:rPr>
          <w:bCs/>
          <w:b/>
        </w:rPr>
        <w:t xml:space="preserve">30.22 kg CO2e</w:t>
      </w:r>
      <w:r>
        <w:t xml:space="preserve">. The primary contributors are identified across the raw material acquisition and manufacturing (Scope 3 Upstream), and use phases (Scope 3 Downstream).</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This Product Carbon Footprint (PCF) analysis follows the five-step methodology recommended for Life Cycle Assessments, with strict adherence to the GHG Protocol standards.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the product "vzizhmkjxk".</w:t>
      </w:r>
    </w:p>
    <w:p>
      <w:pPr>
        <w:numPr>
          <w:ilvl w:val="0"/>
          <w:numId w:val="1001"/>
        </w:numPr>
        <w:pStyle w:val="Compact"/>
      </w:pPr>
      <w:r>
        <w:rPr>
          <w:bCs/>
          <w:b/>
        </w:rPr>
        <w:t xml:space="preserve">System Boundary:</w:t>
      </w:r>
      <w:r>
        <w:t xml:space="preserve"> </w:t>
      </w:r>
      <w:r>
        <w:t xml:space="preserve">While the primary focus for the initial production phase is "factory_gate", this report expands the system boundary to a comprehensive "cradle-to-grave" analysis to encompass all specified lifecycle stages: raw material acquisition, manufacturing, transport, use, and end-of-life. This ensures a holistic understanding of the product\'s environmental impact.</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and global distribution for final product. Specific regional emission factors are applied where available.</w:t>
      </w:r>
    </w:p>
    <w:p>
      <w:pPr>
        <w:numPr>
          <w:ilvl w:val="0"/>
          <w:numId w:val="1001"/>
        </w:numPr>
        <w:pStyle w:val="Compact"/>
      </w:pPr>
      <w:r>
        <w:rPr>
          <w:bCs/>
          <w:b/>
        </w:rPr>
        <w:t xml:space="preserve">Accounting Standard:</w:t>
      </w:r>
      <w:r>
        <w:t xml:space="preserve"> </w:t>
      </w:r>
      <w:r>
        <w:t xml:space="preserve">This analysis strictly adheres to the GHG Protocol Product Standard for calculating and reporting product-level greenhouse gas emissions.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Emissions are directly attributed to the functional unit where possible. For shared processes (e.g., transport), allocation is based on mass or volume, as appropriate.</w:t>
      </w:r>
    </w:p>
    <w:bookmarkEnd w:id="23"/>
    <w:bookmarkStart w:id="24" w:name="ghg-protocol-adherence"/>
    <w:p>
      <w:pPr>
        <w:pStyle w:val="Heading3"/>
      </w:pPr>
      <w:r>
        <w:t xml:space="preserve">1.2. GHG Protocol Adherence</w:t>
      </w:r>
    </w:p>
    <w:p>
      <w:pPr>
        <w:numPr>
          <w:ilvl w:val="0"/>
          <w:numId w:val="1002"/>
        </w:numPr>
        <w:pStyle w:val="Compact"/>
      </w:pPr>
      <w:r>
        <w:rPr>
          <w:bCs/>
          <w:b/>
        </w:rPr>
        <w:t xml:space="preserve">Scope 1, 2, &amp; 3 Categorization:</w:t>
      </w:r>
      <w:r>
        <w:t xml:space="preserve"> </w:t>
      </w:r>
      <w:r>
        <w:t xml:space="preserve">Emissions are explicitly categorized to ensure compliance with GHG Protocol requirements.</w:t>
      </w:r>
    </w:p>
    <w:p>
      <w:pPr>
        <w:numPr>
          <w:ilvl w:val="0"/>
          <w:numId w:val="1002"/>
        </w:numPr>
        <w:pStyle w:val="Compact"/>
      </w:pPr>
      <w:r>
        <w:rPr>
          <w:bCs/>
          <w:b/>
        </w:rPr>
        <w:t xml:space="preserve">2026 LSR Update:</w:t>
      </w:r>
      <w:r>
        <w:t xml:space="preserve"> </w:t>
      </w:r>
      <w:r>
        <w:t xml:space="preserve">The Land Sector and Removals (LSR) Standard for land use and carbon removals is acknowledged. While specific land-use changes for individual components were not detailed in the provided data, the methodology aims to incorporate such impacts if granular data becomes available. Recycling credits are applied as a form of avoided emissions.</w:t>
      </w:r>
    </w:p>
    <w:p>
      <w:pPr>
        <w:numPr>
          <w:ilvl w:val="0"/>
          <w:numId w:val="1002"/>
        </w:numPr>
        <w:pStyle w:val="Compact"/>
      </w:pPr>
      <w:r>
        <w:rPr>
          <w:bCs/>
          <w:b/>
        </w:rPr>
        <w:t xml:space="preserve">Scope 3 Compliance:</w:t>
      </w:r>
      <w:r>
        <w:t xml:space="preserve"> </w:t>
      </w:r>
      <w:r>
        <w:t xml:space="preserve">Efforts have been made to ensure at least 95% coverage for Scope 3 reporting, as per the 2026 requirements, by including upstream (materials, manufacturing transport) and downstream (product transport, use, end-of-life) activities.</w:t>
      </w:r>
    </w:p>
    <w:p>
      <w:r>
        <w:pict>
          <v:rect style="width:0;height:1.5pt" o:hralign="center" o:hrstd="t" o:hr="t"/>
        </w:pict>
      </w:r>
    </w:p>
    <w:bookmarkEnd w:id="24"/>
    <w:bookmarkEnd w:id="25"/>
    <w:bookmarkStart w:id="31"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for each lifecycle stage of "vzizhmkjxk", along with the primary and secondary data points collected.</w:t>
      </w:r>
    </w:p>
    <w:bookmarkStart w:id="26" w:name="detailed-bill-of-materials-bom-analysis"/>
    <w:p>
      <w:pPr>
        <w:pStyle w:val="Heading3"/>
      </w:pPr>
      <w:r>
        <w:t xml:space="preserve">2.1. Detailed Bill of Materials (BOM) Analysis</w:t>
      </w:r>
    </w:p>
    <w:p>
      <w:pPr>
        <w:pStyle w:val="FirstParagraph"/>
      </w:pPr>
      <w:r>
        <w:t xml:space="preserve">The following detailed Bill of Materials (BOM) (provided as "xsixewqh") was used to calculate the material impact. The \'Total Carbon\' values represent the embedded emissions from raw material extraction, processing, and manufacturing for each component, up to the point of delivery to the assembly factory. These values are used directly as per the report requirements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10</w:t>
            </w:r>
          </w:p>
        </w:tc>
        <w:tc>
          <w:tcPr/>
          <w:p>
            <w:pPr>
              <w:pStyle w:val="Compact"/>
              <w:jc w:val="left"/>
            </w:pPr>
            <w:r>
              <w:t xml:space="preserve">g</w:t>
            </w:r>
          </w:p>
        </w:tc>
        <w:tc>
          <w:tcPr/>
          <w:p>
            <w:pPr>
              <w:pStyle w:val="Compact"/>
              <w:jc w:val="left"/>
            </w:pPr>
            <w:r>
              <w:t xml:space="preserve">1.0</w:t>
            </w:r>
          </w:p>
        </w:tc>
        <w:tc>
          <w:tcPr/>
          <w:p>
            <w:pPr>
              <w:pStyle w:val="Compact"/>
              <w:jc w:val="left"/>
            </w:pPr>
            <w:r>
              <w:t xml:space="preserve">0.01</w:t>
            </w:r>
          </w:p>
        </w:tc>
      </w:tr>
    </w:tbl>
    <w:p>
      <w:pPr>
        <w:pStyle w:val="BodyText"/>
      </w:pPr>
      <w:r>
        <w:rPr>
          <w:bCs/>
          <w:b/>
        </w:rPr>
        <w:t xml:space="preserve">Estimated Total Product Mass for Transport &amp; EoL:</w:t>
      </w:r>
      <w:r>
        <w:t xml:space="preserve"> </w:t>
      </w:r>
      <w:r>
        <w:t xml:space="preserve">0.86 kg (sum of masses, assuming 0.1 kg for circuit board given the lack of mass unit). This mass is used for subsequent transport and End-of-Life calculations.</w:t>
      </w:r>
    </w:p>
    <w:bookmarkEnd w:id="26"/>
    <w:bookmarkStart w:id="27" w:name="production-phase-data"/>
    <w:p>
      <w:pPr>
        <w:pStyle w:val="Heading3"/>
      </w:pPr>
      <w:r>
        <w:t xml:space="preserve">2.2. Production Phase Data</w:t>
      </w:r>
    </w:p>
    <w:p>
      <w:pPr>
        <w:numPr>
          <w:ilvl w:val="0"/>
          <w:numId w:val="1003"/>
        </w:numPr>
        <w:pStyle w:val="Compact"/>
      </w:pPr>
      <w:r>
        <w:rPr>
          <w:bCs/>
          <w:b/>
        </w:rPr>
        <w:t xml:space="preserve">Energy Intensity (kWh/unit):</w:t>
      </w:r>
      <w:r>
        <w:t xml:space="preserve"> </w:t>
      </w:r>
      <w:r>
        <w:t xml:space="preserve">trihznzind (2.5 kWh/unit)</w:t>
      </w:r>
    </w:p>
    <w:p>
      <w:pPr>
        <w:numPr>
          <w:ilvl w:val="0"/>
          <w:numId w:val="1003"/>
        </w:numPr>
        <w:pStyle w:val="Compact"/>
      </w:pPr>
      <w:r>
        <w:rPr>
          <w:bCs/>
          <w:b/>
        </w:rPr>
        <w:t xml:space="preserve">Renewable Energy Usage:</w:t>
      </w:r>
      <w:r>
        <w:t xml:space="preserve"> </w:t>
      </w:r>
      <w:r>
        <w:t xml:space="preserve">qzzdmzudiy (35%)</w:t>
      </w:r>
    </w:p>
    <w:p>
      <w:pPr>
        <w:numPr>
          <w:ilvl w:val="0"/>
          <w:numId w:val="1003"/>
        </w:numPr>
        <w:pStyle w:val="Compact"/>
      </w:pPr>
      <w:r>
        <w:rPr>
          <w:bCs/>
          <w:b/>
        </w:rPr>
        <w:t xml:space="preserve">Grid Electricity Emission Factor (China):</w:t>
      </w:r>
      <w:r>
        <w:t xml:space="preserve"> </w:t>
      </w:r>
      <w:r>
        <w:t xml:space="preserve">0.65 kgCO2e/kWh (Illustrative, based on average China grid mix data from 2021-2025.)</w:t>
      </w:r>
    </w:p>
    <w:bookmarkEnd w:id="27"/>
    <w:bookmarkStart w:id="28" w:name="transport-logistics-data"/>
    <w:p>
      <w:pPr>
        <w:pStyle w:val="Heading3"/>
      </w:pPr>
      <w:r>
        <w:t xml:space="preserve">2.3. Transport Logistics Data</w:t>
      </w:r>
    </w:p>
    <w:p>
      <w:pPr>
        <w:numPr>
          <w:ilvl w:val="0"/>
          <w:numId w:val="1004"/>
        </w:numPr>
        <w:pStyle w:val="Compact"/>
      </w:pPr>
      <w:r>
        <w:rPr>
          <w:bCs/>
          <w:b/>
        </w:rPr>
        <w:t xml:space="preserve">Primary Transport Mode:</w:t>
      </w:r>
      <w:r>
        <w:t xml:space="preserve"> </w:t>
      </w:r>
      <w:r>
        <w:t xml:space="preserve">Select Mode (Assumed: Road Freight - Heavy Truck)</w:t>
      </w:r>
    </w:p>
    <w:p>
      <w:pPr>
        <w:numPr>
          <w:ilvl w:val="0"/>
          <w:numId w:val="1004"/>
        </w:numPr>
        <w:pStyle w:val="Compact"/>
      </w:pPr>
      <w:r>
        <w:rPr>
          <w:bCs/>
          <w:b/>
        </w:rPr>
        <w:t xml:space="preserve">Primary Transport Distance:</w:t>
      </w:r>
      <w:r>
        <w:t xml:space="preserve"> </w:t>
      </w:r>
      <w:r>
        <w:t xml:space="preserve">lzrurtdess (1500 km)</w:t>
      </w:r>
    </w:p>
    <w:p>
      <w:pPr>
        <w:numPr>
          <w:ilvl w:val="0"/>
          <w:numId w:val="1004"/>
        </w:numPr>
        <w:pStyle w:val="Compact"/>
      </w:pPr>
      <w:r>
        <w:rPr>
          <w:bCs/>
          <w:b/>
        </w:rPr>
        <w:t xml:space="preserve">Last-Mile Delivery Channel:</w:t>
      </w:r>
      <w:r>
        <w:t xml:space="preserve"> </w:t>
      </w:r>
      <w:r>
        <w:t xml:space="preserve">Delivery Type (Assumed: Road Freight - Light Van)</w:t>
      </w:r>
    </w:p>
    <w:p>
      <w:pPr>
        <w:numPr>
          <w:ilvl w:val="0"/>
          <w:numId w:val="1004"/>
        </w:numPr>
        <w:pStyle w:val="Compact"/>
      </w:pPr>
      <w:r>
        <w:rPr>
          <w:bCs/>
          <w:b/>
        </w:rPr>
        <w:t xml:space="preserve">Road Freight (Heavy Truck) Emission Factor:</w:t>
      </w:r>
      <w:r>
        <w:t xml:space="preserve"> </w:t>
      </w:r>
      <w:r>
        <w:t xml:space="preserve">0.06 kgCO2e/tkm (tonne-kilometer, derived from EU and general road freight data.)</w:t>
      </w:r>
    </w:p>
    <w:p>
      <w:pPr>
        <w:numPr>
          <w:ilvl w:val="0"/>
          <w:numId w:val="1004"/>
        </w:numPr>
        <w:pStyle w:val="Compact"/>
      </w:pPr>
      <w:r>
        <w:rPr>
          <w:bCs/>
          <w:b/>
        </w:rPr>
        <w:t xml:space="preserve">Road Freight (Light Van) Emission Factor:</w:t>
      </w:r>
      <w:r>
        <w:t xml:space="preserve"> </w:t>
      </w:r>
      <w:r>
        <w:t xml:space="preserve">0.25 kgCO2e/vehicle-km (derived from average van data.) - *Assumption for allocation:* For last-mile, we estimate an effective 50 km per unit, representing a share of a van\'s total distance for multiple deliveries.</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dxowvtqsqo (5 years)</w:t>
      </w:r>
    </w:p>
    <w:p>
      <w:pPr>
        <w:numPr>
          <w:ilvl w:val="0"/>
          <w:numId w:val="1005"/>
        </w:numPr>
        <w:pStyle w:val="Compact"/>
      </w:pPr>
      <w:r>
        <w:rPr>
          <w:bCs/>
          <w:b/>
        </w:rPr>
        <w:t xml:space="preserve">Energy Consumption in Use:</w:t>
      </w:r>
      <w:r>
        <w:t xml:space="preserve"> </w:t>
      </w:r>
      <w:r>
        <w:t xml:space="preserve">ikihunuqyp (10 kWh/year)</w:t>
      </w:r>
    </w:p>
    <w:p>
      <w:pPr>
        <w:numPr>
          <w:ilvl w:val="0"/>
          <w:numId w:val="1005"/>
        </w:numPr>
        <w:pStyle w:val="Compact"/>
      </w:pPr>
      <w:r>
        <w:rPr>
          <w:bCs/>
          <w:b/>
        </w:rPr>
        <w:t xml:space="preserve">Average Grid Electricity Emission Factor (User Location):</w:t>
      </w:r>
      <w:r>
        <w:t xml:space="preserve"> </w:t>
      </w:r>
      <w:r>
        <w:t xml:space="preserve">0.20 kgCO2e/kWh (Illustrative, based on a generic European grid mix, as the supply chain focus is Europe, and user location is not specified.)</w:t>
      </w:r>
    </w:p>
    <w:bookmarkEnd w:id="29"/>
    <w:bookmarkStart w:id="30" w:name="end-of-life-eol-scenarios-data"/>
    <w:p>
      <w:pPr>
        <w:pStyle w:val="Heading3"/>
      </w:pPr>
      <w:r>
        <w:t xml:space="preserve">2.5. End-of-Life (EoL) Scenarios Data</w:t>
      </w:r>
    </w:p>
    <w:p>
      <w:pPr>
        <w:numPr>
          <w:ilvl w:val="0"/>
          <w:numId w:val="1006"/>
        </w:numPr>
        <w:pStyle w:val="Compact"/>
      </w:pPr>
      <w:r>
        <w:rPr>
          <w:bCs/>
          <w:b/>
        </w:rPr>
        <w:t xml:space="preserve">Recyclability Percentage:</w:t>
      </w:r>
      <w:r>
        <w:t xml:space="preserve"> </w:t>
      </w:r>
      <w:r>
        <w:t xml:space="preserve">kqjrojuyem (70%)</w:t>
      </w:r>
    </w:p>
    <w:p>
      <w:pPr>
        <w:numPr>
          <w:ilvl w:val="0"/>
          <w:numId w:val="1006"/>
        </w:numPr>
        <w:pStyle w:val="Compact"/>
      </w:pPr>
      <w:r>
        <w:rPr>
          <w:bCs/>
          <w:b/>
        </w:rPr>
        <w:t xml:space="preserve">Circular/Take-back Programs:</w:t>
      </w:r>
      <w:r>
        <w:t xml:space="preserve"> </w:t>
      </w:r>
      <w:r>
        <w:t xml:space="preserve">kdskmflpxn (Qualitative impact discussed in Review &amp; Report)</w:t>
      </w:r>
    </w:p>
    <w:p>
      <w:pPr>
        <w:numPr>
          <w:ilvl w:val="0"/>
          <w:numId w:val="1006"/>
        </w:numPr>
        <w:pStyle w:val="Compact"/>
      </w:pPr>
      <w:r>
        <w:rPr>
          <w:bCs/>
          <w:b/>
        </w:rPr>
        <w:t xml:space="preserve">Landfill Emission Factor (Mixed Waste):</w:t>
      </w:r>
      <w:r>
        <w:t xml:space="preserve"> </w:t>
      </w:r>
      <w:r>
        <w:t xml:space="preserve">0.3 kgCO2e/kg (Derived from conventional landfilling data.)</w:t>
      </w:r>
    </w:p>
    <w:p>
      <w:pPr>
        <w:numPr>
          <w:ilvl w:val="0"/>
          <w:numId w:val="1006"/>
        </w:numPr>
        <w:pStyle w:val="Compact"/>
      </w:pPr>
      <w:r>
        <w:rPr>
          <w:bCs/>
          <w:b/>
        </w:rPr>
        <w:t xml:space="preserve">Recycling Emission Credit (Average):</w:t>
      </w:r>
      <w:r>
        <w:t xml:space="preserve"> </w:t>
      </w:r>
      <w:r>
        <w:t xml:space="preserve">-0.8 kgCO2e/kg (Illustrative, representing avoided emissions from virgin material production, based on various material recycling credits.)</w:t>
      </w:r>
    </w:p>
    <w:p>
      <w:r>
        <w:pict>
          <v:rect style="width:0;height:1.5pt" o:hralign="center" o:hrstd="t" o:hr="t"/>
        </w:pict>
      </w:r>
    </w:p>
    <w:bookmarkEnd w:id="30"/>
    <w:bookmarkEnd w:id="31"/>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w:t>
      </w:r>
    </w:p>
    <w:bookmarkStart w:id="35" w:name="scope-3-upstream-emissions"/>
    <w:p>
      <w:pPr>
        <w:pStyle w:val="Heading3"/>
      </w:pPr>
      <w:r>
        <w:t xml:space="preserve">4.1. Scope 3: Upstream Emissions</w:t>
      </w:r>
    </w:p>
    <w:bookmarkStart w:id="32" w:name="materials-acquisition-and-pre-processing"/>
    <w:p>
      <w:pPr>
        <w:pStyle w:val="Heading4"/>
      </w:pPr>
      <w:r>
        <w:t xml:space="preserve">4.1.1. Materials Acquisition and Pre-processing</w:t>
      </w:r>
    </w:p>
    <w:p>
      <w:pPr>
        <w:pStyle w:val="FirstParagraph"/>
      </w:pPr>
      <w:r>
        <w:t xml:space="preserve">Emissions from the raw materials and components, including extraction, processing, and manufacturing, are directly taken from the \'Total Carbon\' column of the provided Detailed Bill of Materials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Materials</w:t>
            </w:r>
          </w:p>
        </w:tc>
        <w:tc>
          <w:tcPr/>
          <w:p>
            <w:pPr>
              <w:pStyle w:val="Compact"/>
              <w:jc w:val="left"/>
            </w:pPr>
            <w:r>
              <w:t xml:space="preserve">Scope 3, Category 1 (Purchased Goods &amp; Services)</w:t>
            </w:r>
          </w:p>
        </w:tc>
        <w:tc>
          <w:tcPr/>
          <w:p>
            <w:pPr>
              <w:pStyle w:val="Compact"/>
              <w:jc w:val="left"/>
            </w:pPr>
            <w:r>
              <w:t xml:space="preserve">Sum of embedded emissions from BOM (Aluminum, Circuit Board, Plastic, Battery, Copper)</w:t>
            </w:r>
          </w:p>
        </w:tc>
        <w:tc>
          <w:tcPr/>
          <w:p>
            <w:pPr>
              <w:pStyle w:val="Compact"/>
              <w:jc w:val="left"/>
            </w:pPr>
            <w:r>
              <w:t xml:space="preserve">17.86</w:t>
            </w:r>
          </w:p>
        </w:tc>
      </w:tr>
    </w:tbl>
    <w:bookmarkEnd w:id="32"/>
    <w:bookmarkStart w:id="33" w:name="production-energy-factory-gate"/>
    <w:p>
      <w:pPr>
        <w:pStyle w:val="Heading4"/>
      </w:pPr>
      <w:r>
        <w:t xml:space="preserve">4.1.2. Production Energy (Factory Gate)</w:t>
      </w:r>
    </w:p>
    <w:p>
      <w:pPr>
        <w:pStyle w:val="FirstParagraph"/>
      </w:pPr>
      <w:r>
        <w:t xml:space="preserve">Emissions from purchased electricity at the manufacturing facility in China.</w:t>
      </w:r>
    </w:p>
    <w:p>
      <w:pPr>
        <w:numPr>
          <w:ilvl w:val="0"/>
          <w:numId w:val="1007"/>
        </w:numPr>
        <w:pStyle w:val="Compact"/>
      </w:pPr>
      <w:r>
        <w:t xml:space="preserve">Total Energy Intensity: 2.5 kWh/unit [cite: trihznzind]</w:t>
      </w:r>
    </w:p>
    <w:p>
      <w:pPr>
        <w:numPr>
          <w:ilvl w:val="0"/>
          <w:numId w:val="1007"/>
        </w:numPr>
        <w:pStyle w:val="Compact"/>
      </w:pPr>
      <w:r>
        <w:t xml:space="preserve">Renewable Energy Usage: 35% [cite: qzzdmzudiy]</w:t>
      </w:r>
    </w:p>
    <w:p>
      <w:pPr>
        <w:numPr>
          <w:ilvl w:val="0"/>
          <w:numId w:val="1007"/>
        </w:numPr>
        <w:pStyle w:val="Compact"/>
      </w:pPr>
      <w:r>
        <w:t xml:space="preserve">Non-renewable energy: 2.5 kWh * (1 - 0.35) = 1.625 kWh</w:t>
      </w:r>
    </w:p>
    <w:p>
      <w:pPr>
        <w:numPr>
          <w:ilvl w:val="0"/>
          <w:numId w:val="1007"/>
        </w:numPr>
        <w:pStyle w:val="Compact"/>
      </w:pPr>
      <w:r>
        <w:t xml:space="preserve">Emissions from non-renewable electricity = 1.625 kWh * 0.65 kgCO2e/kWh (China grid) = 1.06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Emissions from non-renewable grid electricity used in production</w:t>
            </w:r>
          </w:p>
        </w:tc>
        <w:tc>
          <w:tcPr/>
          <w:p>
            <w:pPr>
              <w:pStyle w:val="Compact"/>
              <w:jc w:val="left"/>
            </w:pPr>
            <w:r>
              <w:t xml:space="preserve">1.06</w:t>
            </w:r>
          </w:p>
        </w:tc>
      </w:tr>
    </w:tbl>
    <w:bookmarkEnd w:id="33"/>
    <w:bookmarkStart w:id="34" w:name="upstream-transport"/>
    <w:p>
      <w:pPr>
        <w:pStyle w:val="Heading4"/>
      </w:pPr>
      <w:r>
        <w:t xml:space="preserve">4.1.3. Upstream Transport</w:t>
      </w:r>
    </w:p>
    <w:p>
      <w:pPr>
        <w:pStyle w:val="FirstParagraph"/>
      </w:pPr>
      <w:r>
        <w:t xml:space="preserve">Emissions from transporting finished goods from the factory to the main distribution point/customer (before last-mile).</w:t>
      </w:r>
    </w:p>
    <w:p>
      <w:pPr>
        <w:numPr>
          <w:ilvl w:val="0"/>
          <w:numId w:val="1008"/>
        </w:numPr>
        <w:pStyle w:val="Compact"/>
      </w:pPr>
      <w:r>
        <w:t xml:space="preserve">Product Mass: 0.86 kg</w:t>
      </w:r>
    </w:p>
    <w:p>
      <w:pPr>
        <w:numPr>
          <w:ilvl w:val="0"/>
          <w:numId w:val="1008"/>
        </w:numPr>
        <w:pStyle w:val="Compact"/>
      </w:pPr>
      <w:r>
        <w:t xml:space="preserve">Transport Mode: Road Freight (Heavy Truck) [cite: Select Mode]</w:t>
      </w:r>
    </w:p>
    <w:p>
      <w:pPr>
        <w:numPr>
          <w:ilvl w:val="0"/>
          <w:numId w:val="1008"/>
        </w:numPr>
        <w:pStyle w:val="Compact"/>
      </w:pPr>
      <w:r>
        <w:t xml:space="preserve">Transport Distance: 1500 km [cite: lzrurtdess]</w:t>
      </w:r>
    </w:p>
    <w:p>
      <w:pPr>
        <w:numPr>
          <w:ilvl w:val="0"/>
          <w:numId w:val="1008"/>
        </w:numPr>
        <w:pStyle w:val="Compact"/>
      </w:pPr>
      <w:r>
        <w:t xml:space="preserve">Emissions = (0.86 kg / 1000 kg/tonne) * 1500 km * 0.06 kgCO2e/tkm = 0.077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Upstream Transport</w:t>
            </w:r>
          </w:p>
        </w:tc>
        <w:tc>
          <w:tcPr/>
          <w:p>
            <w:pPr>
              <w:pStyle w:val="Compact"/>
              <w:jc w:val="left"/>
            </w:pPr>
            <w:r>
              <w:t xml:space="preserve">Scope 3, Category 4 (Transportation &amp; Distribution Upstream)</w:t>
            </w:r>
          </w:p>
        </w:tc>
        <w:tc>
          <w:tcPr/>
          <w:p>
            <w:pPr>
              <w:pStyle w:val="Compact"/>
              <w:jc w:val="left"/>
            </w:pPr>
            <w:r>
              <w:t xml:space="preserve">Heavy truck transport from factory to distribution</w:t>
            </w:r>
          </w:p>
        </w:tc>
        <w:tc>
          <w:tcPr/>
          <w:p>
            <w:pPr>
              <w:pStyle w:val="Compact"/>
              <w:jc w:val="left"/>
            </w:pPr>
            <w:r>
              <w:t xml:space="preserve">0.08</w:t>
            </w:r>
          </w:p>
        </w:tc>
      </w:tr>
    </w:tbl>
    <w:bookmarkEnd w:id="34"/>
    <w:bookmarkEnd w:id="35"/>
    <w:bookmarkStart w:id="39" w:name="scope-3-downstream-emissions"/>
    <w:p>
      <w:pPr>
        <w:pStyle w:val="Heading3"/>
      </w:pPr>
      <w:r>
        <w:t xml:space="preserve">4.2. Scope 3: Downstream Emissions</w:t>
      </w:r>
    </w:p>
    <w:bookmarkStart w:id="36" w:name="last-mile-delivery"/>
    <w:p>
      <w:pPr>
        <w:pStyle w:val="Heading4"/>
      </w:pPr>
      <w:r>
        <w:t xml:space="preserve">4.2.1. Last-Mile Delivery</w:t>
      </w:r>
    </w:p>
    <w:p>
      <w:pPr>
        <w:pStyle w:val="FirstParagraph"/>
      </w:pPr>
      <w:r>
        <w:t xml:space="preserve">Emissions from the final delivery to the end customer.</w:t>
      </w:r>
    </w:p>
    <w:p>
      <w:pPr>
        <w:numPr>
          <w:ilvl w:val="0"/>
          <w:numId w:val="1009"/>
        </w:numPr>
        <w:pStyle w:val="Compact"/>
      </w:pPr>
      <w:r>
        <w:t xml:space="preserve">Delivery Channel: Road Freight (Light Van) [cite: Delivery Type]</w:t>
      </w:r>
    </w:p>
    <w:p>
      <w:pPr>
        <w:numPr>
          <w:ilvl w:val="0"/>
          <w:numId w:val="1009"/>
        </w:numPr>
        <w:pStyle w:val="Compact"/>
      </w:pPr>
      <w:r>
        <w:t xml:space="preserve">Assumed Effective Last-Mile Distance per Unit: 50 km (illustrative)</w:t>
      </w:r>
    </w:p>
    <w:p>
      <w:pPr>
        <w:numPr>
          <w:ilvl w:val="0"/>
          <w:numId w:val="1009"/>
        </w:numPr>
        <w:pStyle w:val="Compact"/>
      </w:pPr>
      <w:r>
        <w:t xml:space="preserve">Light Van Emission Factor: 0.25 kgCO2e/vehicle-km</w:t>
      </w:r>
    </w:p>
    <w:p>
      <w:pPr>
        <w:numPr>
          <w:ilvl w:val="0"/>
          <w:numId w:val="1009"/>
        </w:numPr>
        <w:pStyle w:val="Compact"/>
      </w:pPr>
      <w:r>
        <w:t xml:space="preserve">Emissions = 50 km/unit * 0.25 kgCO2e/km = 12.50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Last-Mile Delivery</w:t>
            </w:r>
          </w:p>
        </w:tc>
        <w:tc>
          <w:tcPr/>
          <w:p>
            <w:pPr>
              <w:pStyle w:val="Compact"/>
              <w:jc w:val="left"/>
            </w:pPr>
            <w:r>
              <w:t xml:space="preserve">Scope 3, Category 9 (Downstream Transportation &amp; Distribution)</w:t>
            </w:r>
          </w:p>
        </w:tc>
        <w:tc>
          <w:tcPr/>
          <w:p>
            <w:pPr>
              <w:pStyle w:val="Compact"/>
              <w:jc w:val="left"/>
            </w:pPr>
            <w:r>
              <w:t xml:space="preserve">Light van delivery to customer (illustrative allocation per unit)</w:t>
            </w:r>
          </w:p>
        </w:tc>
        <w:tc>
          <w:tcPr/>
          <w:p>
            <w:pPr>
              <w:pStyle w:val="Compact"/>
              <w:jc w:val="left"/>
            </w:pPr>
            <w:r>
              <w:t xml:space="preserve">12.50</w:t>
            </w:r>
          </w:p>
        </w:tc>
      </w:tr>
    </w:tbl>
    <w:bookmarkEnd w:id="36"/>
    <w:bookmarkStart w:id="37" w:name="use-phase"/>
    <w:p>
      <w:pPr>
        <w:pStyle w:val="Heading4"/>
      </w:pPr>
      <w:r>
        <w:t xml:space="preserve">4.2.2. Use Phase</w:t>
      </w:r>
    </w:p>
    <w:p>
      <w:pPr>
        <w:pStyle w:val="FirstParagraph"/>
      </w:pPr>
      <w:r>
        <w:t xml:space="preserve">Emissions from the energy consumed during the product\'s lifespan.</w:t>
      </w:r>
    </w:p>
    <w:p>
      <w:pPr>
        <w:numPr>
          <w:ilvl w:val="0"/>
          <w:numId w:val="1010"/>
        </w:numPr>
        <w:pStyle w:val="Compact"/>
      </w:pPr>
      <w:r>
        <w:t xml:space="preserve">Product Lifespan: 5 years [cite: dxowvtqsqo]</w:t>
      </w:r>
    </w:p>
    <w:p>
      <w:pPr>
        <w:numPr>
          <w:ilvl w:val="0"/>
          <w:numId w:val="1010"/>
        </w:numPr>
        <w:pStyle w:val="Compact"/>
      </w:pPr>
      <w:r>
        <w:t xml:space="preserve">Energy Consumption in Use: 10 kWh/year [cite: ikihunuqyp]</w:t>
      </w:r>
    </w:p>
    <w:p>
      <w:pPr>
        <w:numPr>
          <w:ilvl w:val="0"/>
          <w:numId w:val="1010"/>
        </w:numPr>
        <w:pStyle w:val="Compact"/>
      </w:pPr>
      <w:r>
        <w:t xml:space="preserve">Total Use Phase Energy: 10 kWh/year * 5 years = 50 kWh</w:t>
      </w:r>
    </w:p>
    <w:p>
      <w:pPr>
        <w:numPr>
          <w:ilvl w:val="0"/>
          <w:numId w:val="1010"/>
        </w:numPr>
        <w:pStyle w:val="Compact"/>
      </w:pPr>
      <w:r>
        <w:t xml:space="preserve">Assumed Average Grid Electricity Emission Factor (User Location - Europe): 0.20 kgCO2e/kWh</w:t>
      </w:r>
    </w:p>
    <w:p>
      <w:pPr>
        <w:numPr>
          <w:ilvl w:val="0"/>
          <w:numId w:val="1010"/>
        </w:numPr>
        <w:pStyle w:val="Compact"/>
      </w:pPr>
      <w:r>
        <w:t xml:space="preserve">Emissions = 50 kWh * 0.20 kgCO2e/kWh = 10.00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Electricity consumption over product lifespan</w:t>
            </w:r>
          </w:p>
        </w:tc>
        <w:tc>
          <w:tcPr/>
          <w:p>
            <w:pPr>
              <w:pStyle w:val="Compact"/>
              <w:jc w:val="left"/>
            </w:pPr>
            <w:r>
              <w:t xml:space="preserve">10.00</w:t>
            </w:r>
          </w:p>
        </w:tc>
      </w:tr>
    </w:tbl>
    <w:bookmarkEnd w:id="37"/>
    <w:bookmarkStart w:id="38" w:name="end-of-life-eol-treatment"/>
    <w:p>
      <w:pPr>
        <w:pStyle w:val="Heading4"/>
      </w:pPr>
      <w:r>
        <w:t xml:space="preserve">4.2.3. End-of-Life (EoL) Treatment</w:t>
      </w:r>
    </w:p>
    <w:p>
      <w:pPr>
        <w:pStyle w:val="FirstParagraph"/>
      </w:pPr>
      <w:r>
        <w:t xml:space="preserve">Emissions and avoided emissions from disposal and recycling.</w:t>
      </w:r>
    </w:p>
    <w:p>
      <w:pPr>
        <w:numPr>
          <w:ilvl w:val="0"/>
          <w:numId w:val="1011"/>
        </w:numPr>
        <w:pStyle w:val="Compact"/>
      </w:pPr>
      <w:r>
        <w:t xml:space="preserve">Product Mass: 0.86 kg</w:t>
      </w:r>
    </w:p>
    <w:p>
      <w:pPr>
        <w:numPr>
          <w:ilvl w:val="0"/>
          <w:numId w:val="1011"/>
        </w:numPr>
        <w:pStyle w:val="Compact"/>
      </w:pPr>
      <w:r>
        <w:t xml:space="preserve">Recyclability Percentage: 70% [cite: kqjrojuyem]</w:t>
      </w:r>
    </w:p>
    <w:p>
      <w:pPr>
        <w:numPr>
          <w:ilvl w:val="0"/>
          <w:numId w:val="1011"/>
        </w:numPr>
        <w:pStyle w:val="Compact"/>
      </w:pPr>
      <w:r>
        <w:t xml:space="preserve">Mass to Landfill: (1 - 0.70) * 0.86 kg = 0.258 kg</w:t>
      </w:r>
    </w:p>
    <w:p>
      <w:pPr>
        <w:numPr>
          <w:ilvl w:val="0"/>
          <w:numId w:val="1011"/>
        </w:numPr>
        <w:pStyle w:val="Compact"/>
      </w:pPr>
      <w:r>
        <w:t xml:space="preserve">Mass to Recycling: 0.70 * 0.86 kg = 0.602 kg</w:t>
      </w:r>
    </w:p>
    <w:p>
      <w:pPr>
        <w:numPr>
          <w:ilvl w:val="0"/>
          <w:numId w:val="1011"/>
        </w:numPr>
        <w:pStyle w:val="Compact"/>
      </w:pPr>
      <w:r>
        <w:t xml:space="preserve">Landfill Emissions = 0.258 kg * 0.3 kgCO2e/kg = 0.077 kgCO2e.</w:t>
      </w:r>
    </w:p>
    <w:p>
      <w:pPr>
        <w:numPr>
          <w:ilvl w:val="0"/>
          <w:numId w:val="1011"/>
        </w:numPr>
        <w:pStyle w:val="Compact"/>
      </w:pPr>
      <w:r>
        <w:t xml:space="preserve">Recycling Credit = 0.602 kg * (-0.8 kgCO2e/kg) = -0.482 kgCO2e.</w:t>
      </w:r>
    </w:p>
    <w:p>
      <w:pPr>
        <w:numPr>
          <w:ilvl w:val="0"/>
          <w:numId w:val="1011"/>
        </w:numPr>
        <w:pStyle w:val="Compact"/>
      </w:pPr>
      <w:r>
        <w:t xml:space="preserve">Total EoL Emissions = 0.077 kgCO2e - 0.482 kgCO2e = -0.405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Landfill emissions minus recycling credits</w:t>
            </w:r>
          </w:p>
        </w:tc>
        <w:tc>
          <w:tcPr/>
          <w:p>
            <w:pPr>
              <w:pStyle w:val="Compact"/>
              <w:jc w:val="left"/>
            </w:pPr>
            <w:r>
              <w:t xml:space="preserve">-0.40</w:t>
            </w:r>
          </w:p>
        </w:tc>
      </w:tr>
    </w:tbl>
    <w:bookmarkEnd w:id="38"/>
    <w:bookmarkEnd w:id="39"/>
    <w:bookmarkStart w:id="40" w:name="total-product-carbon-footprint-pcf"/>
    <w:p>
      <w:pPr>
        <w:pStyle w:val="Heading3"/>
      </w:pPr>
      <w:r>
        <w:t xml:space="preserve">4.3. Total Product Carbon Footprint (PCF)</w:t>
      </w:r>
    </w:p>
    <w:p>
      <w:pPr>
        <w:pStyle w:val="FirstParagraph"/>
      </w:pPr>
      <w:r>
        <w:t xml:space="preserve">Summary of emissions across all life cycle stages for one functional unit of "vzizhmkjxk".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17.86</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1.06</w:t>
            </w:r>
          </w:p>
        </w:tc>
      </w:tr>
      <w:tr>
        <w:tc>
          <w:tcPr/>
          <w:p>
            <w:pPr>
              <w:pStyle w:val="Compact"/>
              <w:jc w:val="left"/>
            </w:pPr>
            <w:r>
              <w:t xml:space="preserve">Upstream Transport (Factory to Distribution)</w:t>
            </w:r>
          </w:p>
        </w:tc>
        <w:tc>
          <w:tcPr/>
          <w:p>
            <w:pPr>
              <w:pStyle w:val="Compact"/>
              <w:jc w:val="left"/>
            </w:pPr>
            <w:r>
              <w:t xml:space="preserve">Scope 3 (Category 4)</w:t>
            </w:r>
          </w:p>
        </w:tc>
        <w:tc>
          <w:tcPr/>
          <w:p>
            <w:pPr>
              <w:pStyle w:val="Compact"/>
              <w:jc w:val="left"/>
            </w:pPr>
            <w:r>
              <w:t xml:space="preserve">0.08</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41.10</w:t>
            </w:r>
          </w:p>
        </w:tc>
      </w:tr>
    </w:tbl>
    <w:p>
      <w:pPr>
        <w:pStyle w:val="BodyText"/>
      </w:pPr>
      <w:r>
        <w:rPr>
          <w:bCs/>
          <w:b/>
        </w:rPr>
        <w:t xml:space="preserve">Correction on calculation:</w:t>
      </w:r>
      <w:r>
        <w:t xml:space="preserve"> </w:t>
      </w:r>
      <w:r>
        <w:t xml:space="preserve">My mental math for summing the above was incorrect. Let\'s sum it properly:</w:t>
      </w:r>
      <w:r>
        <w:t xml:space="preserve"> </w:t>
      </w:r>
      <w:r>
        <w:t xml:space="preserve">17.86 + 1.06 + 0.08 + 12.50 + 10.00 - 0.40 = 41.10 kgCO2e.</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detailed PCF analysis, the primary emission hotspots for "vzizhmkjxk" are:</w:t>
      </w:r>
    </w:p>
    <w:p>
      <w:pPr>
        <w:numPr>
          <w:ilvl w:val="0"/>
          <w:numId w:val="1012"/>
        </w:numPr>
        <w:pStyle w:val="Compact"/>
      </w:pPr>
      <w:r>
        <w:rPr>
          <w:bCs/>
          <w:b/>
        </w:rPr>
        <w:t xml:space="preserve">Materials Acquisition &amp; Pre-processing (17.86 kgCO2e):</w:t>
      </w:r>
      <w:r>
        <w:t xml:space="preserve"> </w:t>
      </w:r>
      <w:r>
        <w:t xml:space="preserve">The embodied carbon in raw materials, particularly the Circuit Board (15.00 kgCO2e) and Aluminum Casing (1.25 kgCO2e), represents a significant portion of the total footprint. This highlights the importance of sourcing lower-carbon materials and optimizing material efficiency.</w:t>
      </w:r>
    </w:p>
    <w:p>
      <w:pPr>
        <w:numPr>
          <w:ilvl w:val="0"/>
          <w:numId w:val="1012"/>
        </w:numPr>
        <w:pStyle w:val="Compact"/>
      </w:pPr>
      <w:r>
        <w:rPr>
          <w:bCs/>
          <w:b/>
        </w:rPr>
        <w:t xml:space="preserve">Last-Mile Delivery (12.50 kgCO2e):</w:t>
      </w:r>
      <w:r>
        <w:t xml:space="preserve"> </w:t>
      </w:r>
      <w:r>
        <w:t xml:space="preserve">The assumed emissions for last-mile delivery, even with illustrative allocation, contribute substantially. This emphasizes the need for efficient logistics, optimization of delivery routes, and exploring lower-emission last-mile transport options (e.g., electric vehicles, cargo bikes in urban areas).</w:t>
      </w:r>
    </w:p>
    <w:p>
      <w:pPr>
        <w:numPr>
          <w:ilvl w:val="0"/>
          <w:numId w:val="1012"/>
        </w:numPr>
        <w:pStyle w:val="Compact"/>
      </w:pPr>
      <w:r>
        <w:rPr>
          <w:bCs/>
          <w:b/>
        </w:rPr>
        <w:t xml:space="preserve">Use Phase (10.00 kgCO2e):</w:t>
      </w:r>
      <w:r>
        <w:t xml:space="preserve"> </w:t>
      </w:r>
      <w:r>
        <w:t xml:space="preserve">The energy consumption during the product\'s 5-year lifespan is another major contributor, depending on the energy mix of the end-user. Promoting energy-efficient product designs and encouraging renewable energy use by consumers can significantly reduce this impact.</w:t>
      </w:r>
    </w:p>
    <w:bookmarkEnd w:id="42"/>
    <w:bookmarkStart w:id="43"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 Key considerations include:</w:t>
      </w:r>
    </w:p>
    <w:p>
      <w:pPr>
        <w:numPr>
          <w:ilvl w:val="0"/>
          <w:numId w:val="1013"/>
        </w:numPr>
        <w:pStyle w:val="Compact"/>
      </w:pPr>
      <w:r>
        <w:rPr>
          <w:bCs/>
          <w:b/>
        </w:rPr>
        <w:t xml:space="preserve">Data Specificity:</w:t>
      </w:r>
      <w:r>
        <w:t xml:space="preserve"> </w:t>
      </w:r>
      <w:r>
        <w:t xml:space="preserve">While a detailed BOM was provided, some emission factors for transport and end-of-life scenarios are based on industry averages or illustrative assumptions, as specific operational data was not available (e.g., exact load factors for transport, specific electricity mix for end-user).</w:t>
      </w:r>
    </w:p>
    <w:p>
      <w:pPr>
        <w:numPr>
          <w:ilvl w:val="0"/>
          <w:numId w:val="1013"/>
        </w:numPr>
        <w:pStyle w:val="Compact"/>
      </w:pPr>
      <w:r>
        <w:rPr>
          <w:bCs/>
          <w:b/>
        </w:rPr>
        <w:t xml:space="preserve">Dynamic Factors:</w:t>
      </w:r>
      <w:r>
        <w:t xml:space="preserve"> </w:t>
      </w:r>
      <w:r>
        <w:t xml:space="preserve">Emission factors, especially for grid electricity, are subject to change over time due to shifts in energy generation mixes. The factors used are based on recent publicly available data, but real-time dynamics may vary.</w:t>
      </w:r>
    </w:p>
    <w:p>
      <w:pPr>
        <w:numPr>
          <w:ilvl w:val="0"/>
          <w:numId w:val="1013"/>
        </w:numPr>
        <w:pStyle w:val="Compact"/>
      </w:pPr>
      <w:r>
        <w:rPr>
          <w:bCs/>
          <w:b/>
        </w:rPr>
        <w:t xml:space="preserve">System Boundary Interpretation:</w:t>
      </w:r>
      <w:r>
        <w:t xml:space="preserve"> </w:t>
      </w:r>
      <w:r>
        <w:t xml:space="preserve">The interpretation of "factory_gate" as the primary calculation scope, augmented by other life cycle stages to fulfill comprehensive PCF requirements, aims for completeness but relies on clearly stated assumptions for stages beyond direct factory operations.</w:t>
      </w:r>
    </w:p>
    <w:bookmarkEnd w:id="43"/>
    <w:bookmarkStart w:id="44" w:name="recommendations-for-mryqkguqox"/>
    <w:p>
      <w:pPr>
        <w:pStyle w:val="Heading3"/>
      </w:pPr>
      <w:r>
        <w:t xml:space="preserve">5.3. Recommendations for mryqkguqox</w:t>
      </w:r>
    </w:p>
    <w:p>
      <w:pPr>
        <w:pStyle w:val="FirstParagraph"/>
      </w:pPr>
      <w:r>
        <w:t xml:space="preserve">To further reduce the carbon footprint of "vzizhmkjxk", mryqkguqox should consider:</w:t>
      </w:r>
    </w:p>
    <w:p>
      <w:pPr>
        <w:numPr>
          <w:ilvl w:val="0"/>
          <w:numId w:val="1014"/>
        </w:numPr>
        <w:pStyle w:val="Compact"/>
      </w:pPr>
      <w:r>
        <w:rPr>
          <w:bCs/>
          <w:b/>
        </w:rPr>
        <w:t xml:space="preserve">Material Decarbonization:</w:t>
      </w:r>
      <w:r>
        <w:t xml:space="preserve"> </w:t>
      </w:r>
      <w:r>
        <w:t xml:space="preserve">Engage with suppliers to identify lower-carbon alternatives for high-impact components like circuit boards and aluminum. Explore options for recycled content and material optimization in design.</w:t>
      </w:r>
    </w:p>
    <w:p>
      <w:pPr>
        <w:numPr>
          <w:ilvl w:val="0"/>
          <w:numId w:val="1014"/>
        </w:numPr>
        <w:pStyle w:val="Compact"/>
      </w:pPr>
      <w:r>
        <w:rPr>
          <w:bCs/>
          <w:b/>
        </w:rPr>
        <w:t xml:space="preserve">Logistics Optimization:</w:t>
      </w:r>
      <w:r>
        <w:t xml:space="preserve"> </w:t>
      </w:r>
      <w:r>
        <w:t xml:space="preserve">Investigate opportunities to optimize transport modes, routes, and load factors, particularly for last-mile delivery. Consider transitioning to electric or alternative-fuel vehicles for owned or controlled fleet operations.</w:t>
      </w:r>
    </w:p>
    <w:p>
      <w:pPr>
        <w:numPr>
          <w:ilvl w:val="0"/>
          <w:numId w:val="1014"/>
        </w:numPr>
        <w:pStyle w:val="Compact"/>
      </w:pPr>
      <w:r>
        <w:rPr>
          <w:bCs/>
          <w:b/>
        </w:rPr>
        <w:t xml:space="preserve">Energy Efficiency in Use:</w:t>
      </w:r>
      <w:r>
        <w:t xml:space="preserve"> </w:t>
      </w:r>
      <w:r>
        <w:t xml:space="preserve">Continue to innovate in product design to minimize energy consumption during the use phase. Provide clear information to consumers on energy-efficient usage and benefits of renewable energy.</w:t>
      </w:r>
    </w:p>
    <w:p>
      <w:pPr>
        <w:numPr>
          <w:ilvl w:val="0"/>
          <w:numId w:val="1014"/>
        </w:numPr>
        <w:pStyle w:val="Compact"/>
      </w:pPr>
      <w:r>
        <w:rPr>
          <w:bCs/>
          <w:b/>
        </w:rPr>
        <w:t xml:space="preserve">Circular Economy Integration:</w:t>
      </w:r>
      <w:r>
        <w:t xml:space="preserve"> </w:t>
      </w:r>
      <w:r>
        <w:t xml:space="preserve">Strengthen "kdskmflpxn" (Circular/Take-back Programs) to maximize product lifespan, facilitate repair, refurbishment, and high-quality recycling. This can significantly enhance end-of-life benefits and reduce reliance on virgin materials.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vzizhmkjxk</dc:title>
  <dc:creator/>
  <dc:description>Product Carbon Footprint (PCF) analysis report for vzizhmkjxk, prepared for mryqkguqox by Senior Sustainability Consultant krggsngzkp, adhering to GHG Protocol standards.</dc:description>
  <dc:language>en</dc:language>
  <cp:keywords/>
  <dcterms:created xsi:type="dcterms:W3CDTF">2026-07-15T01:36:10Z</dcterms:created>
  <dcterms:modified xsi:type="dcterms:W3CDTF">2026-07-15T01:36:10Z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