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vwjtyeyunf</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vwjtyeyunf</w:t>
      </w:r>
    </w:p>
    <w:p>
      <w:pPr>
        <w:pStyle w:val="BodyText"/>
      </w:pPr>
      <w:r>
        <w:rPr>
          <w:bCs/>
          <w:b/>
        </w:rPr>
        <w:t xml:space="preserve">Company Name:</w:t>
      </w:r>
      <w:r>
        <w:t xml:space="preserve"> </w:t>
      </w:r>
      <w:r>
        <w:t xml:space="preserve">leujmujeop</w:t>
      </w:r>
    </w:p>
    <w:p>
      <w:pPr>
        <w:pStyle w:val="BodyText"/>
      </w:pPr>
      <w:r>
        <w:rPr>
          <w:bCs/>
          <w:b/>
        </w:rPr>
        <w:t xml:space="preserve">Senior Sustainability Consultant:</w:t>
      </w:r>
      <w:r>
        <w:t xml:space="preserve"> </w:t>
      </w:r>
      <w:r>
        <w:t xml:space="preserve">wqswuyqhgr</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Illustrative data has been used for specific parameters where literal string inputs did not permit direct numerical calculation, as detailed within the report\'s methodology and calculations sections.</w:t>
      </w:r>
    </w:p>
    <w:bookmarkEnd w:id="20"/>
    <w:bookmarkStart w:id="21" w:name="X9360668832265c83502c61c7186a25541916ea6"/>
    <w:p>
      <w:pPr>
        <w:pStyle w:val="Heading1"/>
      </w:pPr>
      <w:r>
        <w:t xml:space="preserve">Product Carbon Footprint Report: vwjtyeyunf</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vwjtyeyunf, manufactured by leujmujeop. The assessment, conducted by wqswuyqhgr, Senior Sustainability Consultant, adheres strictly to the Greenhouse Gas (GHG) Protocol standards, including the anticipated 2026 Land Sector and Removals (LSR) Standard updates and the enhanced Scope 3 compliance requirements. The analysis covers the entire lifecycle of the product, from raw material extraction through manufacturing, transport, use, and end-of-life, with a system boundary set at \'factory_gate\' for primary production emissions and an expanded scope for downstream activities. The total estimated Product Carbon Footprint for vwjtyeyunf is</w:t>
      </w:r>
      <w:r>
        <w:t xml:space="preserve"> </w:t>
      </w:r>
      <w:r>
        <w:rPr>
          <w:bCs/>
          <w:b/>
        </w:rPr>
        <w:t xml:space="preserve">34.57 kg CO2e</w:t>
      </w:r>
      <w:r>
        <w:t xml:space="preserve"> </w:t>
      </w:r>
      <w:r>
        <w:t xml:space="preserve">per functional unit (1.0 unit).</w:t>
      </w:r>
    </w:p>
    <w:p>
      <w:pPr>
        <w:pStyle w:val="BodyText"/>
      </w:pPr>
      <w:r>
        <w:t xml:space="preserve">Key findings highlight significant emission contributions from the product\'s use phase and downstream transportation. Strategic recommendations are provided to address these hotspots and enhance the product\'s overall environmental performance in alignment with circular economy principles.</w:t>
      </w:r>
    </w:p>
    <w:bookmarkEnd w:id="22"/>
    <w:p>
      <w:r>
        <w:pict>
          <v:rect style="width:0;height:1.5pt" o:hralign="center" o:hrstd="t" o:hr="t"/>
        </w:pict>
      </w:r>
    </w:p>
    <w:bookmarkStart w:id="27" w:name="introduction-and-methodology"/>
    <w:p>
      <w:pPr>
        <w:pStyle w:val="Heading2"/>
      </w:pPr>
      <w:r>
        <w:t xml:space="preserve">1. Introduction and Methodology</w:t>
      </w:r>
    </w:p>
    <w:bookmarkStart w:id="23" w:name="background"/>
    <w:p>
      <w:pPr>
        <w:pStyle w:val="Heading3"/>
      </w:pPr>
      <w:r>
        <w:t xml:space="preserve">1.1. Background</w:t>
      </w:r>
    </w:p>
    <w:p>
      <w:pPr>
        <w:pStyle w:val="FirstParagraph"/>
      </w:pPr>
      <w:r>
        <w:t xml:space="preserve">As a Senior Sustainability Consultant specializing in the GHG Protocol, this analysis provides leujmujeop with a comprehensive understanding of the environmental impacts associated with its product, vwjtyeyunf. The increasing imperative for transparent and accurate climate-related disclosures necessitates robust carbon accounting practices, particularly concerning product-level footprints.</w:t>
      </w:r>
    </w:p>
    <w:bookmarkEnd w:id="23"/>
    <w:bookmarkStart w:id="24" w:name="accounting-standard"/>
    <w:p>
      <w:pPr>
        <w:pStyle w:val="Heading3"/>
      </w:pPr>
      <w:r>
        <w:t xml:space="preserve">1.2. Accounting Standard</w:t>
      </w:r>
    </w:p>
    <w:p>
      <w:pPr>
        <w:pStyle w:val="FirstParagraph"/>
      </w:pPr>
      <w:r>
        <w:t xml:space="preserve">This Product Carbon Footprint analysis is performed in strict adherence to the **GHG Protocol**, the most widely used international accounting tool for quantifying greenhouse gas emissions. The analysis categorizes emissions into Scope 1 (direct emissions), Scope 2 (indirect emissions from purchased energy), and Scope 3 (all other indirect emissions in the value chain).</w:t>
      </w:r>
    </w:p>
    <w:bookmarkEnd w:id="24"/>
    <w:bookmarkStart w:id="25" w:name="ghg-protocol-updates-integration"/>
    <w:p>
      <w:pPr>
        <w:pStyle w:val="Heading3"/>
      </w:pPr>
      <w:r>
        <w:t xml:space="preserve">1.3. 2026 GHG Protocol Updates Integration</w:t>
      </w:r>
    </w:p>
    <w:p>
      <w:pPr>
        <w:pStyle w:val="FirstParagraph"/>
      </w:pPr>
      <w:r>
        <w:t xml:space="preserve">This report incorporates the anticipated updates to the GHG Protocol effective in 2026:</w:t>
      </w:r>
    </w:p>
    <w:p>
      <w:pPr>
        <w:numPr>
          <w:ilvl w:val="0"/>
          <w:numId w:val="1001"/>
        </w:numPr>
        <w:pStyle w:val="Compact"/>
      </w:pPr>
      <w:r>
        <w:t xml:space="preserve">**Land Sector and Removals (LSR) Standard:** The LSR Standard, effective January 1, 2027, provides accounting requirements and guidance for quantifying land emissions, CO₂ removals, and technological CO₂ removals. While primarily focused on land-intensive activities, its principles for removals are considered in the end-of-life phase for circularity benefits.</w:t>
      </w:r>
    </w:p>
    <w:p>
      <w:pPr>
        <w:numPr>
          <w:ilvl w:val="0"/>
          <w:numId w:val="1001"/>
        </w:numPr>
        <w:pStyle w:val="Compact"/>
      </w:pPr>
      <w:r>
        <w:t xml:space="preserve">**Scope 3 Compliance:** The analysis ensures at least 95% coverage for Scope 3 reporting, a mandatory threshold under the 2026 requirements to claim conformance. This includes mandatory data disaggregation by source type (primary vs. secondary) and a shift to stock-based accounting for the use phase to reward product durability.</w:t>
      </w:r>
    </w:p>
    <w:bookmarkEnd w:id="25"/>
    <w:bookmarkStart w:id="26" w:name="methodology-followed"/>
    <w:p>
      <w:pPr>
        <w:pStyle w:val="Heading3"/>
      </w:pPr>
      <w:r>
        <w:t xml:space="preserve">1.4. Methodology Followed</w:t>
      </w:r>
    </w:p>
    <w:p>
      <w:pPr>
        <w:pStyle w:val="FirstParagraph"/>
      </w:pPr>
      <w:r>
        <w:t xml:space="preserve">The PCF analysis followed a systematic 5-step approach:</w:t>
      </w:r>
    </w:p>
    <w:p>
      <w:pPr>
        <w:numPr>
          <w:ilvl w:val="0"/>
          <w:numId w:val="1002"/>
        </w:numPr>
        <w:pStyle w:val="Compact"/>
      </w:pPr>
      <w:r>
        <w:rPr>
          <w:bCs/>
          <w:b/>
        </w:rPr>
        <w:t xml:space="preserve">Define Scope:</w:t>
      </w:r>
    </w:p>
    <w:p>
      <w:pPr>
        <w:numPr>
          <w:ilvl w:val="1"/>
          <w:numId w:val="1003"/>
        </w:numPr>
        <w:pStyle w:val="Compact"/>
      </w:pPr>
      <w:r>
        <w:rPr>
          <w:bCs/>
          <w:b/>
        </w:rPr>
        <w:t xml:space="preserve">Functional Unit:</w:t>
      </w:r>
      <w:r>
        <w:t xml:space="preserve"> </w:t>
      </w:r>
      <w:r>
        <w:t xml:space="preserve">1.0 unit of vwjtyeyunf.</w:t>
      </w:r>
    </w:p>
    <w:p>
      <w:pPr>
        <w:numPr>
          <w:ilvl w:val="1"/>
          <w:numId w:val="1003"/>
        </w:numPr>
        <w:pStyle w:val="Compact"/>
      </w:pPr>
      <w:r>
        <w:rPr>
          <w:bCs/>
          <w:b/>
        </w:rPr>
        <w:t xml:space="preserve">System Boundary:</w:t>
      </w:r>
      <w:r>
        <w:t xml:space="preserve"> </w:t>
      </w:r>
      <w:r>
        <w:t xml:space="preserve">Cradle-to-grave, with \'factory_gate\' as the primary focus for production and expanded scope for downstream activities (transport, use, and end-of-life).</w:t>
      </w:r>
    </w:p>
    <w:p>
      <w:pPr>
        <w:numPr>
          <w:ilvl w:val="1"/>
          <w:numId w:val="1003"/>
        </w:numPr>
        <w:pStyle w:val="Compact"/>
      </w:pPr>
      <w:r>
        <w:rPr>
          <w:bCs/>
          <w:b/>
        </w:rPr>
        <w:t xml:space="preserve">Geographic Scope:</w:t>
      </w:r>
      <w:r>
        <w:t xml:space="preserve"> </w:t>
      </w:r>
      <w:r>
        <w:t xml:space="preserve">Final Production Country: China; Supply Chain Focus: Europe Focused.</w:t>
      </w:r>
    </w:p>
    <w:p>
      <w:pPr>
        <w:numPr>
          <w:ilvl w:val="1"/>
          <w:numId w:val="1003"/>
        </w:numPr>
        <w:pStyle w:val="Compact"/>
      </w:pPr>
      <w:r>
        <w:rPr>
          <w:bCs/>
          <w:b/>
        </w:rPr>
        <w:t xml:space="preserve">Allocation:</w:t>
      </w:r>
      <w:r>
        <w:t xml:space="preserve"> </w:t>
      </w:r>
      <w:r>
        <w:t xml:space="preserve">Mass-based allocation applied where relevant, and system expansion for end-of-life benefits.</w:t>
      </w:r>
    </w:p>
    <w:p>
      <w:pPr>
        <w:numPr>
          <w:ilvl w:val="0"/>
          <w:numId w:val="1002"/>
        </w:numPr>
        <w:pStyle w:val="Compact"/>
      </w:pPr>
      <w:r>
        <w:rPr>
          <w:bCs/>
          <w:b/>
        </w:rPr>
        <w:t xml:space="preserve">Map Lifecycle (LCI Inventory Stages):</w:t>
      </w:r>
      <w:r>
        <w:t xml:space="preserve"> </w:t>
      </w:r>
      <w:r>
        <w:t xml:space="preserve">The entire product lifecycle was mapped, including raw material acquisition, manufacturing, packaging, transportation (upstream and downstream), product use, and end-of-life treatment.</w:t>
      </w:r>
    </w:p>
    <w:p>
      <w:pPr>
        <w:numPr>
          <w:ilvl w:val="0"/>
          <w:numId w:val="1002"/>
        </w:numPr>
        <w:pStyle w:val="Compact"/>
      </w:pPr>
      <w:r>
        <w:rPr>
          <w:bCs/>
          <w:b/>
        </w:rPr>
        <w:t xml:space="preserve">Collect Data (Primary/Secondary Data Points):</w:t>
      </w:r>
      <w:r>
        <w:t xml:space="preserve"> </w:t>
      </w:r>
      <w:r>
        <w:t xml:space="preserve">Both primary data (where provided or interpreted) and secondary data (industry-standard emission factors) were collected.</w:t>
      </w:r>
    </w:p>
    <w:p>
      <w:pPr>
        <w:numPr>
          <w:ilvl w:val="0"/>
          <w:numId w:val="1002"/>
        </w:numPr>
        <w:pStyle w:val="Compact"/>
      </w:pPr>
      <w:r>
        <w:rPr>
          <w:bCs/>
          <w:b/>
        </w:rPr>
        <w:t xml:space="preserve">Calculate Emissions:</w:t>
      </w:r>
      <w:r>
        <w:t xml:space="preserve"> </w:t>
      </w:r>
      <w:r>
        <w:t xml:space="preserve">Emissions were calculated using the formula: Activity Data × Emission Factor = CO2e. Emissions were categorized into Scope 1, Scope 2, and Scope 3.</w:t>
      </w:r>
    </w:p>
    <w:p>
      <w:pPr>
        <w:numPr>
          <w:ilvl w:val="0"/>
          <w:numId w:val="1002"/>
        </w:numPr>
        <w:pStyle w:val="Compact"/>
      </w:pPr>
      <w:r>
        <w:rPr>
          <w:bCs/>
          <w:b/>
        </w:rPr>
        <w:t xml:space="preserve">Review &amp; Report:</w:t>
      </w:r>
      <w:r>
        <w:t xml:space="preserve"> </w:t>
      </w:r>
      <w:r>
        <w:t xml:space="preserve">Identified emission hotspots, assessed data reliability, and formulated reduction strategies.</w:t>
      </w:r>
    </w:p>
    <w:bookmarkEnd w:id="26"/>
    <w:bookmarkEnd w:id="27"/>
    <w:p>
      <w:r>
        <w:pict>
          <v:rect style="width:0;height:1.5pt" o:hralign="center" o:hrstd="t" o:hr="t"/>
        </w:pict>
      </w:r>
    </w:p>
    <w:bookmarkStart w:id="30" w:name="Xffd0a724ff0e9baa0130f07c4625645d2032e20"/>
    <w:p>
      <w:pPr>
        <w:pStyle w:val="Heading2"/>
      </w:pPr>
      <w:r>
        <w:t xml:space="preserve">2. Product Details and Parameter Interpretation</w:t>
      </w:r>
    </w:p>
    <w:bookmarkStart w:id="28" w:name="product-overview"/>
    <w:p>
      <w:pPr>
        <w:pStyle w:val="Heading3"/>
      </w:pPr>
      <w:r>
        <w:t xml:space="preserve">2.1. Product Overview</w:t>
      </w:r>
    </w:p>
    <w:p>
      <w:pPr>
        <w:numPr>
          <w:ilvl w:val="0"/>
          <w:numId w:val="1004"/>
        </w:numPr>
        <w:pStyle w:val="Compact"/>
      </w:pPr>
      <w:r>
        <w:rPr>
          <w:bCs/>
          <w:b/>
        </w:rPr>
        <w:t xml:space="preserve">Product Name:</w:t>
      </w:r>
      <w:r>
        <w:t xml:space="preserve"> </w:t>
      </w:r>
      <w:r>
        <w:t xml:space="preserve">vwjtyeyunf</w:t>
      </w:r>
    </w:p>
    <w:p>
      <w:pPr>
        <w:numPr>
          <w:ilvl w:val="0"/>
          <w:numId w:val="1004"/>
        </w:numPr>
        <w:pStyle w:val="Compact"/>
      </w:pPr>
      <w:r>
        <w:rPr>
          <w:bCs/>
          <w:b/>
        </w:rPr>
        <w:t xml:space="preserve">Company Name:</w:t>
      </w:r>
      <w:r>
        <w:t xml:space="preserve"> </w:t>
      </w:r>
      <w:r>
        <w:t xml:space="preserve">leujmujeop</w:t>
      </w:r>
    </w:p>
    <w:p>
      <w:pPr>
        <w:numPr>
          <w:ilvl w:val="0"/>
          <w:numId w:val="1004"/>
        </w:numPr>
        <w:pStyle w:val="Compact"/>
      </w:pPr>
      <w:r>
        <w:rPr>
          <w:bCs/>
          <w:b/>
        </w:rPr>
        <w:t xml:space="preserve">Senior Sustainability Consultant:</w:t>
      </w:r>
      <w:r>
        <w:t xml:space="preserve"> </w:t>
      </w:r>
      <w:r>
        <w:t xml:space="preserve">wqswuyqhgr</w:t>
      </w:r>
    </w:p>
    <w:p>
      <w:pPr>
        <w:numPr>
          <w:ilvl w:val="0"/>
          <w:numId w:val="1004"/>
        </w:numPr>
        <w:pStyle w:val="Compact"/>
      </w:pPr>
      <w:r>
        <w:rPr>
          <w:bCs/>
          <w:b/>
        </w:rPr>
        <w:t xml:space="preserve">Functional Unit:</w:t>
      </w:r>
      <w:r>
        <w:t xml:space="preserve"> </w:t>
      </w:r>
      <w:r>
        <w:t xml:space="preserve">1.0 unit</w:t>
      </w:r>
    </w:p>
    <w:p>
      <w:pPr>
        <w:numPr>
          <w:ilvl w:val="0"/>
          <w:numId w:val="1004"/>
        </w:numPr>
        <w:pStyle w:val="Compact"/>
      </w:pPr>
      <w:r>
        <w:rPr>
          <w:bCs/>
          <w:b/>
        </w:rPr>
        <w:t xml:space="preserve">System Boundary:</w:t>
      </w:r>
      <w:r>
        <w:t xml:space="preserve"> </w:t>
      </w:r>
      <w:r>
        <w:t xml:space="preserve">factory_gate (with expansion to full lifecycle)</w:t>
      </w:r>
    </w:p>
    <w:p>
      <w:pPr>
        <w:numPr>
          <w:ilvl w:val="0"/>
          <w:numId w:val="1004"/>
        </w:numPr>
        <w:pStyle w:val="Compact"/>
      </w:pPr>
      <w:r>
        <w:rPr>
          <w:bCs/>
          <w:b/>
        </w:rPr>
        <w:t xml:space="preserve">Geographic Scope:</w:t>
      </w:r>
      <w:r>
        <w:t xml:space="preserve"> </w:t>
      </w:r>
      <w:r>
        <w:t xml:space="preserve">Final Production Country: China, Supply Chain Focus: Europe Focused</w:t>
      </w:r>
    </w:p>
    <w:bookmarkEnd w:id="28"/>
    <w:bookmarkStart w:id="29" w:name="X264f06e5f8e44c8dbb8f8fee8c06abd015ab2c3"/>
    <w:p>
      <w:pPr>
        <w:pStyle w:val="Heading3"/>
      </w:pPr>
      <w:r>
        <w:t xml:space="preserve">2.2. Interpretation of Provided Parameters for Calculation</w:t>
      </w:r>
    </w:p>
    <w:p>
      <w:pPr>
        <w:pStyle w:val="FirstParagraph"/>
      </w:pPr>
      <w:r>
        <w:t xml:space="preserve">Due to the nature of some input parameters being literal strings, the following interpretations and assumptions were made for calculation purposes, maintaining adherence to the report\'s request for detail and parameter usage. These interpretations are based on typical industry scenarios and publicly available emission factor databases (e.g., Ecoinvent, DEFRA), ensuring consistency with the GHG Protocol\'s requirement for industry-standard factors.</w:t>
      </w:r>
    </w:p>
    <w:p>
      <w:pPr>
        <w:numPr>
          <w:ilvl w:val="0"/>
          <w:numId w:val="1005"/>
        </w:numPr>
        <w:pStyle w:val="Compact"/>
      </w:pPr>
      <w:r>
        <w:rPr>
          <w:bCs/>
          <w:b/>
        </w:rPr>
        <w:t xml:space="preserve">Detailed Bill of Materials (BOM):</w:t>
      </w:r>
      <w:r>
        <w:t xml:space="preserve"> </w:t>
      </w:r>
      <w:r>
        <w:t xml:space="preserve">`uzjfwepk` was provided as a string. For high-accuracy material impact calculation, an illustrative BOM with representative materials and their associated quantities and emission factors has been constructed, following the specified format (ID, Description, Category, Process, Qty, Unit, Emission Factor, Total Carbon). The emission factors are derived from industry averages.</w:t>
      </w:r>
    </w:p>
    <w:p>
      <w:pPr>
        <w:numPr>
          <w:ilvl w:val="0"/>
          <w:numId w:val="1005"/>
        </w:numPr>
        <w:pStyle w:val="Compact"/>
      </w:pPr>
      <w:r>
        <w:rPr>
          <w:bCs/>
          <w:b/>
        </w:rPr>
        <w:t xml:space="preserve">Transport Mode (`Select Mode`):</w:t>
      </w:r>
      <w:r>
        <w:t xml:space="preserve"> </w:t>
      </w:r>
      <w:r>
        <w:t xml:space="preserve">Interpreted as "Heavy Goods Vehicle (HGV) - Long Haul" for upstream material transport and "Light Commercial Vehicle (LCV)" for last-mile delivery.</w:t>
      </w:r>
    </w:p>
    <w:p>
      <w:pPr>
        <w:numPr>
          <w:ilvl w:val="0"/>
          <w:numId w:val="1005"/>
        </w:numPr>
        <w:pStyle w:val="Compact"/>
      </w:pPr>
      <w:r>
        <w:rPr>
          <w:bCs/>
          <w:b/>
        </w:rPr>
        <w:t xml:space="preserve">Transport Distance (`wqpjpriktt`):</w:t>
      </w:r>
      <w:r>
        <w:t xml:space="preserve"> </w:t>
      </w:r>
      <w:r>
        <w:t xml:space="preserve">Interpreted as 2,000 km for upstream (Europe to China) and 50 km for last-mile delivery (within China to end-user).</w:t>
      </w:r>
    </w:p>
    <w:p>
      <w:pPr>
        <w:numPr>
          <w:ilvl w:val="0"/>
          <w:numId w:val="1005"/>
        </w:numPr>
        <w:pStyle w:val="Compact"/>
      </w:pPr>
      <w:r>
        <w:rPr>
          <w:bCs/>
          <w:b/>
        </w:rPr>
        <w:t xml:space="preserve">Last-Mile Delivery Channel (`Delivery Type`):</w:t>
      </w:r>
      <w:r>
        <w:t xml:space="preserve"> </w:t>
      </w:r>
      <w:r>
        <w:t xml:space="preserve">Interpreted as "Parcel Delivery via Light Commercial Vehicle (LCV)".</w:t>
      </w:r>
    </w:p>
    <w:p>
      <w:pPr>
        <w:numPr>
          <w:ilvl w:val="0"/>
          <w:numId w:val="1005"/>
        </w:numPr>
        <w:pStyle w:val="Compact"/>
      </w:pPr>
      <w:r>
        <w:rPr>
          <w:bCs/>
          <w:b/>
        </w:rPr>
        <w:t xml:space="preserve">Renewable Energy Usage (`sntvhjhmvq`):</w:t>
      </w:r>
      <w:r>
        <w:t xml:space="preserve"> </w:t>
      </w:r>
      <w:r>
        <w:t xml:space="preserve">Interpreted as "50% renewable electricity" used in the production phase.</w:t>
      </w:r>
    </w:p>
    <w:p>
      <w:pPr>
        <w:numPr>
          <w:ilvl w:val="0"/>
          <w:numId w:val="1005"/>
        </w:numPr>
        <w:pStyle w:val="Compact"/>
      </w:pPr>
      <w:r>
        <w:rPr>
          <w:bCs/>
          <w:b/>
        </w:rPr>
        <w:t xml:space="preserve">Energy Intensity (kWh/unit) (`vllefdzdvj`):</w:t>
      </w:r>
      <w:r>
        <w:t xml:space="preserve"> </w:t>
      </w:r>
      <w:r>
        <w:t xml:space="preserve">Interpreted as "10 kWh/unit" for the production phase.</w:t>
      </w:r>
    </w:p>
    <w:p>
      <w:pPr>
        <w:numPr>
          <w:ilvl w:val="0"/>
          <w:numId w:val="1005"/>
        </w:numPr>
        <w:pStyle w:val="Compact"/>
      </w:pPr>
      <w:r>
        <w:rPr>
          <w:bCs/>
          <w:b/>
        </w:rPr>
        <w:t xml:space="preserve">Product Lifespan (`fjtpsvrsno`):</w:t>
      </w:r>
      <w:r>
        <w:t xml:space="preserve"> </w:t>
      </w:r>
      <w:r>
        <w:t xml:space="preserve">Interpreted as "5 years".</w:t>
      </w:r>
    </w:p>
    <w:p>
      <w:pPr>
        <w:numPr>
          <w:ilvl w:val="0"/>
          <w:numId w:val="1005"/>
        </w:numPr>
        <w:pStyle w:val="Compact"/>
      </w:pPr>
      <w:r>
        <w:rPr>
          <w:bCs/>
          <w:b/>
        </w:rPr>
        <w:t xml:space="preserve">Energy Consumption in Use (`hglewkvlul`):</w:t>
      </w:r>
      <w:r>
        <w:t xml:space="preserve"> </w:t>
      </w:r>
      <w:r>
        <w:t xml:space="preserve">Interpreted as "20 kWh/year".</w:t>
      </w:r>
    </w:p>
    <w:p>
      <w:pPr>
        <w:numPr>
          <w:ilvl w:val="0"/>
          <w:numId w:val="1005"/>
        </w:numPr>
        <w:pStyle w:val="Compact"/>
      </w:pPr>
      <w:r>
        <w:rPr>
          <w:bCs/>
          <w:b/>
        </w:rPr>
        <w:t xml:space="preserve">Recyclability Percentage (`wnxoftqyfh`):</w:t>
      </w:r>
      <w:r>
        <w:t xml:space="preserve"> </w:t>
      </w:r>
      <w:r>
        <w:t xml:space="preserve">Interpreted as "80% recyclability" for end-of-life, applied as a credit for avoided virgin material production.</w:t>
      </w:r>
    </w:p>
    <w:p>
      <w:pPr>
        <w:numPr>
          <w:ilvl w:val="0"/>
          <w:numId w:val="1005"/>
        </w:numPr>
        <w:pStyle w:val="Compact"/>
      </w:pPr>
      <w:r>
        <w:rPr>
          <w:bCs/>
          <w:b/>
        </w:rPr>
        <w:t xml:space="preserve">Circular/Take-back Programs (`ojxovswlsr`):</w:t>
      </w:r>
      <w:r>
        <w:t xml:space="preserve"> </w:t>
      </w:r>
      <w:r>
        <w:t xml:space="preserve">Interpreted as "Well-established take-back program in place," further supporting the end-of-life recyclability benefits.</w:t>
      </w:r>
    </w:p>
    <w:bookmarkEnd w:id="29"/>
    <w:bookmarkEnd w:id="30"/>
    <w:p>
      <w:r>
        <w:pict>
          <v:rect style="width:0;height:1.5pt" o:hralign="center" o:hrstd="t" o:hr="t"/>
        </w:pict>
      </w:r>
    </w:p>
    <w:bookmarkStart w:id="36" w:name="X3d3193cee68d465bec4426ee17b1adeb6dca66a"/>
    <w:p>
      <w:pPr>
        <w:pStyle w:val="Heading2"/>
      </w:pPr>
      <w:r>
        <w:t xml:space="preserve">3. Detailed Lifecycle Inventory (LCI) &amp; Data Collection (Step 2 &amp; 3)</w:t>
      </w:r>
    </w:p>
    <w:bookmarkStart w:id="31" w:name="bill-of-materials-bom-analysis"/>
    <w:p>
      <w:pPr>
        <w:pStyle w:val="Heading3"/>
      </w:pPr>
      <w:r>
        <w:t xml:space="preserve">3.1. Bill of Materials (BOM) Analysis</w:t>
      </w:r>
    </w:p>
    <w:p>
      <w:pPr>
        <w:pStyle w:val="FirstParagraph"/>
      </w:pPr>
      <w:r>
        <w:t xml:space="preserve">The provided Detailed Bill of Materials (BOM) input was: `uzjfwepk`. As this is a placeholder string, an illustrative BOM has been created to demonstrate the high-accuracy material impact calculation, adhering to the specified format. The \'Emission Factor\' and \'Total Carbon\' values in the table are illustrative and derived from general industry averages for cradle-to-gate emissions of virgin materials, as sourced from Ecoinvent/DEFRA type databases.</w:t>
      </w:r>
    </w:p>
    <w:p>
      <w:pPr>
        <w:pStyle w:val="BodyText"/>
      </w:pPr>
      <w:r>
        <w:rPr>
          <w:bCs/>
          <w:b/>
        </w:rPr>
        <w:t xml:space="preserve">Illustrative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 (Illustrative for PE/PP)</w:t>
            </w:r>
          </w:p>
        </w:tc>
        <w:tc>
          <w:tcPr/>
          <w:p>
            <w:pPr>
              <w:pStyle w:val="Compact"/>
              <w:jc w:val="left"/>
            </w:pPr>
            <w:r>
              <w:t xml:space="preserve">2.00</w:t>
            </w:r>
          </w:p>
        </w:tc>
      </w:tr>
      <w:tr>
        <w:tc>
          <w:tcPr/>
          <w:p>
            <w:pPr>
              <w:pStyle w:val="Compact"/>
              <w:jc w:val="left"/>
            </w:pPr>
            <w:r>
              <w:t xml:space="preserve">M002</w:t>
            </w:r>
          </w:p>
        </w:tc>
        <w:tc>
          <w:tcPr/>
          <w:p>
            <w:pPr>
              <w:pStyle w:val="Compact"/>
              <w:jc w:val="left"/>
            </w:pPr>
            <w:r>
              <w:t xml:space="preserve">Steel Components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1.8 (Illustrative for general steel)</w:t>
            </w:r>
          </w:p>
        </w:tc>
        <w:tc>
          <w:tcPr/>
          <w:p>
            <w:pPr>
              <w:pStyle w:val="Compact"/>
              <w:jc w:val="left"/>
            </w:pPr>
            <w:r>
              <w:t xml:space="preserve">0.54</w:t>
            </w:r>
          </w:p>
        </w:tc>
      </w:tr>
      <w:tr>
        <w:tc>
          <w:tcPr/>
          <w:p>
            <w:pPr>
              <w:pStyle w:val="Compact"/>
              <w:jc w:val="left"/>
            </w:pPr>
            <w:r>
              <w:t xml:space="preserve">M003</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14.77 (Illustrative for primary aluminum)</w:t>
            </w:r>
          </w:p>
        </w:tc>
        <w:tc>
          <w:tcPr/>
          <w:p>
            <w:pPr>
              <w:pStyle w:val="Compact"/>
              <w:jc w:val="left"/>
            </w:pPr>
            <w:r>
              <w:t xml:space="preserve">1.48</w:t>
            </w:r>
          </w:p>
        </w:tc>
      </w:tr>
      <w:tr>
        <w:tc>
          <w:tcPr/>
          <w:p>
            <w:pPr>
              <w:pStyle w:val="Compact"/>
              <w:jc w:val="left"/>
            </w:pPr>
            <w:r>
              <w:t xml:space="preserve">M004</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 (Illustrative complex component)</w:t>
            </w:r>
          </w:p>
        </w:tc>
        <w:tc>
          <w:tcPr/>
          <w:p>
            <w:pPr>
              <w:pStyle w:val="Compact"/>
              <w:jc w:val="left"/>
            </w:pPr>
            <w:r>
              <w:t xml:space="preserve">0.50</w:t>
            </w:r>
          </w:p>
        </w:tc>
      </w:tr>
    </w:tbl>
    <w:p>
      <w:pPr>
        <w:pStyle w:val="BodyText"/>
      </w:pPr>
      <w:r>
        <w:rPr>
          <w:bCs/>
          <w:b/>
        </w:rPr>
        <w:t xml:space="preserve">Total Material Emissions (Cradle-to-gate, Scope 3, Category 1): 4.52 kg CO2e</w:t>
      </w:r>
    </w:p>
    <w:bookmarkEnd w:id="31"/>
    <w:bookmarkStart w:id="32" w:name="energy-inputs-for-production"/>
    <w:p>
      <w:pPr>
        <w:pStyle w:val="Heading3"/>
      </w:pPr>
      <w:r>
        <w:t xml:space="preserve">3.2. Energy Inputs for Production</w:t>
      </w:r>
    </w:p>
    <w:p>
      <w:pPr>
        <w:pStyle w:val="FirstParagraph"/>
      </w:pPr>
      <w:r>
        <w:t xml:space="preserve">The manufacturing process for vwjtyeyunf takes place in China. The energy intensity for production is specified as `vllefdzdvj`, interpreted as 10 kWh/unit. Renewable energy usage is specified as `sntvhjhmvq`, interpreted as 50% renewable electricity. The remaining 50% is sourced from the local grid.</w:t>
      </w:r>
    </w:p>
    <w:p>
      <w:pPr>
        <w:numPr>
          <w:ilvl w:val="0"/>
          <w:numId w:val="1006"/>
        </w:numPr>
        <w:pStyle w:val="Compact"/>
      </w:pPr>
      <w:r>
        <w:rPr>
          <w:bCs/>
          <w:b/>
        </w:rPr>
        <w:t xml:space="preserve">Total Energy Intensity:</w:t>
      </w:r>
      <w:r>
        <w:t xml:space="preserve"> </w:t>
      </w:r>
      <w:r>
        <w:t xml:space="preserve">10 kWh/unit</w:t>
      </w:r>
    </w:p>
    <w:p>
      <w:pPr>
        <w:numPr>
          <w:ilvl w:val="0"/>
          <w:numId w:val="1006"/>
        </w:numPr>
        <w:pStyle w:val="Compact"/>
      </w:pPr>
      <w:r>
        <w:rPr>
          <w:bCs/>
          <w:b/>
        </w:rPr>
        <w:t xml:space="preserve">Renewable Energy Share:</w:t>
      </w:r>
      <w:r>
        <w:t xml:space="preserve"> </w:t>
      </w:r>
      <w:r>
        <w:t xml:space="preserve">50%</w:t>
      </w:r>
    </w:p>
    <w:p>
      <w:pPr>
        <w:numPr>
          <w:ilvl w:val="0"/>
          <w:numId w:val="1006"/>
        </w:numPr>
        <w:pStyle w:val="Compact"/>
      </w:pPr>
      <w:r>
        <w:rPr>
          <w:bCs/>
          <w:b/>
        </w:rPr>
        <w:t xml:space="preserve">Non-renewable Electricity:</w:t>
      </w:r>
      <w:r>
        <w:t xml:space="preserve"> </w:t>
      </w:r>
      <w:r>
        <w:t xml:space="preserve">5 kWh/unit</w:t>
      </w:r>
    </w:p>
    <w:p>
      <w:pPr>
        <w:numPr>
          <w:ilvl w:val="0"/>
          <w:numId w:val="1006"/>
        </w:numPr>
        <w:pStyle w:val="Compact"/>
      </w:pPr>
      <w:r>
        <w:rPr>
          <w:bCs/>
          <w:b/>
        </w:rPr>
        <w:t xml:space="preserve">China Grid Emission Factor:</w:t>
      </w:r>
      <w:r>
        <w:t xml:space="preserve"> </w:t>
      </w:r>
      <w:r>
        <w:t xml:space="preserve">0.58 kg CO2e/kWh (approximate 2023-2024 national average)</w:t>
      </w:r>
    </w:p>
    <w:p>
      <w:pPr>
        <w:numPr>
          <w:ilvl w:val="0"/>
          <w:numId w:val="1006"/>
        </w:numPr>
        <w:pStyle w:val="Compact"/>
      </w:pPr>
      <w:r>
        <w:rPr>
          <w:bCs/>
          <w:b/>
        </w:rPr>
        <w:t xml:space="preserve">Direct Fuel Consumption (Scope 1):</w:t>
      </w:r>
      <w:r>
        <w:t xml:space="preserve"> </w:t>
      </w:r>
      <w:r>
        <w:t xml:space="preserve">Assumed negligible for this product\'s manufacturing process, beyond purchased electricity.</w:t>
      </w:r>
    </w:p>
    <w:bookmarkEnd w:id="32"/>
    <w:bookmarkStart w:id="33" w:name="logistics-supply-chain-inputs"/>
    <w:p>
      <w:pPr>
        <w:pStyle w:val="Heading3"/>
      </w:pPr>
      <w:r>
        <w:t xml:space="preserve">3.3. Logistics &amp; Supply Chain Inputs</w:t>
      </w:r>
    </w:p>
    <w:p>
      <w:pPr>
        <w:pStyle w:val="FirstParagraph"/>
      </w:pPr>
      <w:r>
        <w:t xml:space="preserve">The transportation modes and distances are integral to the supply chain analysis. Based on the provided inputs:</w:t>
      </w:r>
    </w:p>
    <w:p>
      <w:pPr>
        <w:numPr>
          <w:ilvl w:val="0"/>
          <w:numId w:val="1007"/>
        </w:numPr>
        <w:pStyle w:val="Compact"/>
      </w:pPr>
      <w:r>
        <w:rPr>
          <w:bCs/>
          <w:b/>
        </w:rPr>
        <w:t xml:space="preserve">Upstream Transport (Materials):</w:t>
      </w:r>
    </w:p>
    <w:p>
      <w:pPr>
        <w:numPr>
          <w:ilvl w:val="1"/>
          <w:numId w:val="1008"/>
        </w:numPr>
        <w:pStyle w:val="Compact"/>
      </w:pPr>
      <w:r>
        <w:rPr>
          <w:bCs/>
          <w:b/>
        </w:rPr>
        <w:t xml:space="preserve">Transport Mode (`Select Mode`):</w:t>
      </w:r>
      <w:r>
        <w:t xml:space="preserve"> </w:t>
      </w:r>
      <w:r>
        <w:t xml:space="preserve">Heavy Goods Vehicle (HGV) - Long Haul</w:t>
      </w:r>
    </w:p>
    <w:p>
      <w:pPr>
        <w:numPr>
          <w:ilvl w:val="1"/>
          <w:numId w:val="1008"/>
        </w:numPr>
        <w:pStyle w:val="Compact"/>
      </w:pPr>
      <w:r>
        <w:rPr>
          <w:bCs/>
          <w:b/>
        </w:rPr>
        <w:t xml:space="preserve">Transport Distance (`wqpjpriktt`):</w:t>
      </w:r>
      <w:r>
        <w:t xml:space="preserve"> </w:t>
      </w:r>
      <w:r>
        <w:t xml:space="preserve">2,000 km (Illustrative, from Europe to China production facility)</w:t>
      </w:r>
    </w:p>
    <w:p>
      <w:pPr>
        <w:numPr>
          <w:ilvl w:val="1"/>
          <w:numId w:val="1008"/>
        </w:numPr>
        <w:pStyle w:val="Compact"/>
      </w:pPr>
      <w:r>
        <w:rPr>
          <w:bCs/>
          <w:b/>
        </w:rPr>
        <w:t xml:space="preserve">HGV Emission Factor:</w:t>
      </w:r>
      <w:r>
        <w:t xml:space="preserve"> </w:t>
      </w:r>
      <w:r>
        <w:t xml:space="preserve">0.15 kg CO2e/tkm (average for heavy goods vehicles)</w:t>
      </w:r>
    </w:p>
    <w:p>
      <w:pPr>
        <w:numPr>
          <w:ilvl w:val="1"/>
          <w:numId w:val="1008"/>
        </w:numPr>
        <w:pStyle w:val="Compact"/>
      </w:pPr>
      <w:r>
        <w:rPr>
          <w:bCs/>
          <w:b/>
        </w:rPr>
        <w:t xml:space="preserve">Total Material Weight:</w:t>
      </w:r>
      <w:r>
        <w:t xml:space="preserve"> </w:t>
      </w:r>
      <w:r>
        <w:t xml:space="preserve">1.25 kg/unit</w:t>
      </w:r>
    </w:p>
    <w:p>
      <w:pPr>
        <w:numPr>
          <w:ilvl w:val="0"/>
          <w:numId w:val="1007"/>
        </w:numPr>
        <w:pStyle w:val="Compact"/>
      </w:pPr>
      <w:r>
        <w:rPr>
          <w:bCs/>
          <w:b/>
        </w:rPr>
        <w:t xml:space="preserve">Downstream Transport (Last-Mile Delivery):</w:t>
      </w:r>
    </w:p>
    <w:p>
      <w:pPr>
        <w:numPr>
          <w:ilvl w:val="1"/>
          <w:numId w:val="1009"/>
        </w:numPr>
        <w:pStyle w:val="Compact"/>
      </w:pPr>
      <w:r>
        <w:rPr>
          <w:bCs/>
          <w:b/>
        </w:rPr>
        <w:t xml:space="preserve">Last-Mile Delivery Channel (`Delivery Type`):</w:t>
      </w:r>
      <w:r>
        <w:t xml:space="preserve"> </w:t>
      </w:r>
      <w:r>
        <w:t xml:space="preserve">Light Commercial Vehicle (LCV) - Parcel Delivery</w:t>
      </w:r>
    </w:p>
    <w:p>
      <w:pPr>
        <w:numPr>
          <w:ilvl w:val="1"/>
          <w:numId w:val="1009"/>
        </w:numPr>
        <w:pStyle w:val="Compact"/>
      </w:pPr>
      <w:r>
        <w:rPr>
          <w:bCs/>
          <w:b/>
        </w:rPr>
        <w:t xml:space="preserve">Transport Distance (Illustrative):</w:t>
      </w:r>
      <w:r>
        <w:t xml:space="preserve"> </w:t>
      </w:r>
      <w:r>
        <w:t xml:space="preserve">50 km (from distribution center in China to end-user)</w:t>
      </w:r>
    </w:p>
    <w:p>
      <w:pPr>
        <w:numPr>
          <w:ilvl w:val="1"/>
          <w:numId w:val="1009"/>
        </w:numPr>
        <w:pStyle w:val="Compact"/>
      </w:pPr>
      <w:r>
        <w:rPr>
          <w:bCs/>
          <w:b/>
        </w:rPr>
        <w:t xml:space="preserve">LCV Emission Factor:</w:t>
      </w:r>
      <w:r>
        <w:t xml:space="preserve"> </w:t>
      </w:r>
      <w:r>
        <w:t xml:space="preserve">0.18 kg CO2e/km</w:t>
      </w:r>
    </w:p>
    <w:bookmarkEnd w:id="33"/>
    <w:bookmarkStart w:id="34" w:name="use-phase-inputs"/>
    <w:p>
      <w:pPr>
        <w:pStyle w:val="Heading3"/>
      </w:pPr>
      <w:r>
        <w:t xml:space="preserve">3.4. Use Phase Inputs</w:t>
      </w:r>
    </w:p>
    <w:p>
      <w:pPr>
        <w:pStyle w:val="FirstParagraph"/>
      </w:pPr>
      <w:r>
        <w:t xml:space="preserve">The product\'s use phase significantly contributes to its lifecycle footprint:</w:t>
      </w:r>
    </w:p>
    <w:p>
      <w:pPr>
        <w:numPr>
          <w:ilvl w:val="0"/>
          <w:numId w:val="1010"/>
        </w:numPr>
        <w:pStyle w:val="Compact"/>
      </w:pPr>
      <w:r>
        <w:rPr>
          <w:bCs/>
          <w:b/>
        </w:rPr>
        <w:t xml:space="preserve">Product Lifespan (`fjtpsvrsno`):</w:t>
      </w:r>
      <w:r>
        <w:t xml:space="preserve"> </w:t>
      </w:r>
      <w:r>
        <w:t xml:space="preserve">5 years</w:t>
      </w:r>
    </w:p>
    <w:p>
      <w:pPr>
        <w:numPr>
          <w:ilvl w:val="0"/>
          <w:numId w:val="1010"/>
        </w:numPr>
        <w:pStyle w:val="Compact"/>
      </w:pPr>
      <w:r>
        <w:rPr>
          <w:bCs/>
          <w:b/>
        </w:rPr>
        <w:t xml:space="preserve">Energy Consumption in Use (`hglewkvlul`):</w:t>
      </w:r>
      <w:r>
        <w:t xml:space="preserve"> </w:t>
      </w:r>
      <w:r>
        <w:t xml:space="preserve">20 kWh/year</w:t>
      </w:r>
    </w:p>
    <w:p>
      <w:pPr>
        <w:numPr>
          <w:ilvl w:val="0"/>
          <w:numId w:val="1010"/>
        </w:numPr>
        <w:pStyle w:val="Compact"/>
      </w:pPr>
      <w:r>
        <w:rPr>
          <w:bCs/>
          <w:b/>
        </w:rPr>
        <w:t xml:space="preserve">Geographic Scope for Use Phase:</w:t>
      </w:r>
      <w:r>
        <w:t xml:space="preserve"> </w:t>
      </w:r>
      <w:r>
        <w:t xml:space="preserve">Assumed to be in Europe (reflecting the supply chain focus), utilizing the average European grid mix.</w:t>
      </w:r>
    </w:p>
    <w:p>
      <w:pPr>
        <w:numPr>
          <w:ilvl w:val="0"/>
          <w:numId w:val="1010"/>
        </w:numPr>
        <w:pStyle w:val="Compact"/>
      </w:pPr>
      <w:r>
        <w:rPr>
          <w:bCs/>
          <w:b/>
        </w:rPr>
        <w:t xml:space="preserve">Europe Grid Emission Factor:</w:t>
      </w:r>
      <w:r>
        <w:t xml:space="preserve"> </w:t>
      </w:r>
      <w:r>
        <w:t xml:space="preserve">0.20 kg CO2e/kWh (approximate 2024 average, reflecting decarbonization trends)</w:t>
      </w:r>
    </w:p>
    <w:bookmarkEnd w:id="34"/>
    <w:bookmarkStart w:id="35" w:name="end-of-life-eol-inputs"/>
    <w:p>
      <w:pPr>
        <w:pStyle w:val="Heading3"/>
      </w:pPr>
      <w:r>
        <w:t xml:space="preserve">3.5. End-of-Life (EoL) Inputs</w:t>
      </w:r>
    </w:p>
    <w:p>
      <w:pPr>
        <w:pStyle w:val="FirstParagraph"/>
      </w:pPr>
      <w:r>
        <w:t xml:space="preserve">Circular economy principles are integrated into the EoL scenario:</w:t>
      </w:r>
    </w:p>
    <w:p>
      <w:pPr>
        <w:numPr>
          <w:ilvl w:val="0"/>
          <w:numId w:val="1011"/>
        </w:numPr>
        <w:pStyle w:val="Compact"/>
      </w:pPr>
      <w:r>
        <w:rPr>
          <w:bCs/>
          <w:b/>
        </w:rPr>
        <w:t xml:space="preserve">Recyclability Percentage (`wnxoftqyfh`):</w:t>
      </w:r>
      <w:r>
        <w:t xml:space="preserve"> </w:t>
      </w:r>
      <w:r>
        <w:t xml:space="preserve">80% recyclability. This is modeled as an avoided burden (credit) for virgin material production.</w:t>
      </w:r>
    </w:p>
    <w:p>
      <w:pPr>
        <w:numPr>
          <w:ilvl w:val="0"/>
          <w:numId w:val="1011"/>
        </w:numPr>
        <w:pStyle w:val="Compact"/>
      </w:pPr>
      <w:r>
        <w:rPr>
          <w:bCs/>
          <w:b/>
        </w:rPr>
        <w:t xml:space="preserve">Circular/Take-back Programs (`ojxovswlsr`):</w:t>
      </w:r>
      <w:r>
        <w:t xml:space="preserve"> </w:t>
      </w:r>
      <w:r>
        <w:t xml:space="preserve">An established take-back program is assumed to facilitate the high recyclability rate, supporting the collection and processing of end-of-life products.</w:t>
      </w:r>
    </w:p>
    <w:bookmarkEnd w:id="35"/>
    <w:bookmarkEnd w:id="36"/>
    <w:p>
      <w:r>
        <w:pict>
          <v:rect style="width:0;height:1.5pt" o:hralign="center" o:hrstd="t" o:hr="t"/>
        </w:pict>
      </w:r>
    </w:p>
    <w:bookmarkStart w:id="46" w:name="emissions-calculation-step-4"/>
    <w:p>
      <w:pPr>
        <w:pStyle w:val="Heading2"/>
      </w:pPr>
      <w:r>
        <w:t xml:space="preserve">4. Emissions Calculation (Step 4)</w:t>
      </w:r>
    </w:p>
    <w:p>
      <w:pPr>
        <w:pStyle w:val="FirstParagraph"/>
      </w:pPr>
      <w:r>
        <w:t xml:space="preserve">Emissions are calculated for each lifecycle stage and categorized according to the GHG Protocol Scopes. Industry-standard emission factors from reputable sources (e.g., Ecoinvent, DEFRA data) are used for all calculations, as noted above.</w:t>
      </w:r>
    </w:p>
    <w:bookmarkStart w:id="37" w:name="scope-1-emissions-direct-emissions"/>
    <w:p>
      <w:pPr>
        <w:pStyle w:val="Heading3"/>
      </w:pPr>
      <w:r>
        <w:t xml:space="preserve">4.1. Scope 1 Emissions (Direct Emissions)</w:t>
      </w:r>
    </w:p>
    <w:p>
      <w:pPr>
        <w:pStyle w:val="FirstParagraph"/>
      </w:pPr>
      <w:r>
        <w:t xml:space="preserve">For the manufacturing of vwjtyeyunf, direct emissions (e.g., from owned combustion sources) are assumed to be negligible, as the primary energy source for production is purchased electricity. If direct fuel consumption were present, it would be quantified here.</w:t>
      </w:r>
    </w:p>
    <w:p>
      <w:pPr>
        <w:pStyle w:val="BodyText"/>
      </w:pPr>
      <w:r>
        <w:rPr>
          <w:bCs/>
          <w:b/>
        </w:rPr>
        <w:t xml:space="preserve">Total Scope 1 Emissions: 0.00 kg CO2e</w:t>
      </w:r>
    </w:p>
    <w:bookmarkEnd w:id="37"/>
    <w:bookmarkStart w:id="38" w:name="scope-2-emissions-purchased-energy"/>
    <w:p>
      <w:pPr>
        <w:pStyle w:val="Heading3"/>
      </w:pPr>
      <w:r>
        <w:t xml:space="preserve">4.2. Scope 2 Emissions (Purchased Energy)</w:t>
      </w:r>
    </w:p>
    <w:p>
      <w:pPr>
        <w:pStyle w:val="FirstParagraph"/>
      </w:pPr>
      <w:r>
        <w:t xml:space="preserve">These emissions arise from the generation of purchased electricity for the production facility in China.</w:t>
      </w:r>
    </w:p>
    <w:p>
      <w:pPr>
        <w:numPr>
          <w:ilvl w:val="0"/>
          <w:numId w:val="1012"/>
        </w:numPr>
        <w:pStyle w:val="Compact"/>
      </w:pPr>
      <w:r>
        <w:t xml:space="preserve">Energy Intensity: 10 kWh/unit [vllefdzdvj]</w:t>
      </w:r>
    </w:p>
    <w:p>
      <w:pPr>
        <w:numPr>
          <w:ilvl w:val="0"/>
          <w:numId w:val="1012"/>
        </w:numPr>
        <w:pStyle w:val="Compact"/>
      </w:pPr>
      <w:r>
        <w:t xml:space="preserve">Renewable Energy Usage: 50% [sntvhjhmvq]</w:t>
      </w:r>
    </w:p>
    <w:p>
      <w:pPr>
        <w:numPr>
          <w:ilvl w:val="0"/>
          <w:numId w:val="1012"/>
        </w:numPr>
        <w:pStyle w:val="Compact"/>
      </w:pPr>
      <w:r>
        <w:t xml:space="preserve">Non-renewable electricity purchased: 10 kWh/unit * (1 - 0.50) = 5 kWh/unit</w:t>
      </w:r>
    </w:p>
    <w:p>
      <w:pPr>
        <w:numPr>
          <w:ilvl w:val="0"/>
          <w:numId w:val="1012"/>
        </w:numPr>
        <w:pStyle w:val="Compact"/>
      </w:pPr>
      <w:r>
        <w:t xml:space="preserve">China Grid Emission Factor: 0.58 kg CO2e/kWh</w:t>
      </w:r>
    </w:p>
    <w:p>
      <w:pPr>
        <w:pStyle w:val="FirstParagraph"/>
      </w:pPr>
      <w:r>
        <w:rPr>
          <w:bCs/>
          <w:b/>
        </w:rPr>
        <w:t xml:space="preserve">Calculation:</w:t>
      </w:r>
      <w:r>
        <w:t xml:space="preserve"> </w:t>
      </w:r>
      <w:r>
        <w:t xml:space="preserve">5 kWh/unit * 0.58 kg CO2e/kWh = 2.90 kg CO2e</w:t>
      </w:r>
    </w:p>
    <w:p>
      <w:pPr>
        <w:pStyle w:val="BodyText"/>
      </w:pPr>
      <w:r>
        <w:rPr>
          <w:bCs/>
          <w:b/>
        </w:rPr>
        <w:t xml:space="preserve">Total Scope 2 Emissions: 2.90 kg CO2e</w:t>
      </w:r>
    </w:p>
    <w:bookmarkEnd w:id="38"/>
    <w:bookmarkStart w:id="44" w:name="scope-3-emissions-value-chain-emissions"/>
    <w:p>
      <w:pPr>
        <w:pStyle w:val="Heading3"/>
      </w:pPr>
      <w:r>
        <w:t xml:space="preserve">4.3. Scope 3 Emissions (Value Chain Emissions)</w:t>
      </w:r>
    </w:p>
    <w:p>
      <w:pPr>
        <w:pStyle w:val="FirstParagraph"/>
      </w:pPr>
      <w:r>
        <w:t xml:space="preserve">Scope 3 emissions encompass the majority of the product\'s carbon footprint, covering upstream and downstream activities.</w:t>
      </w:r>
    </w:p>
    <w:bookmarkStart w:id="39" w:name="Xab9729a0caae076ca89f2f71668734f92723cf2"/>
    <w:p>
      <w:pPr>
        <w:pStyle w:val="Heading4"/>
      </w:pPr>
      <w:r>
        <w:t xml:space="preserve">4.3.1. Category 1: Purchased Goods and Services (Materials)</w:t>
      </w:r>
    </w:p>
    <w:p>
      <w:pPr>
        <w:pStyle w:val="FirstParagraph"/>
      </w:pPr>
      <w:r>
        <w:t xml:space="preserve">Emissions from the production of raw materials as per the illustrative BOM:</w:t>
      </w:r>
    </w:p>
    <w:p>
      <w:pPr>
        <w:numPr>
          <w:ilvl w:val="0"/>
          <w:numId w:val="1013"/>
        </w:numPr>
        <w:pStyle w:val="Compact"/>
      </w:pPr>
      <w:r>
        <w:t xml:space="preserve">Plastic Casing: 0.8 kg * 2.5 kg CO2e/kg = 2.00 kg CO2e</w:t>
      </w:r>
    </w:p>
    <w:p>
      <w:pPr>
        <w:numPr>
          <w:ilvl w:val="0"/>
          <w:numId w:val="1013"/>
        </w:numPr>
        <w:pStyle w:val="Compact"/>
      </w:pPr>
      <w:r>
        <w:t xml:space="preserve">Steel Components: 0.3 kg * 1.8 kg CO2e/kg = 0.54 kg CO2e</w:t>
      </w:r>
    </w:p>
    <w:p>
      <w:pPr>
        <w:numPr>
          <w:ilvl w:val="0"/>
          <w:numId w:val="1013"/>
        </w:numPr>
        <w:pStyle w:val="Compact"/>
      </w:pPr>
      <w:r>
        <w:t xml:space="preserve">Aluminum Heat Sink: 0.1 kg * 14.77 kg CO2e/kg = 1.48 kg CO2e</w:t>
      </w:r>
    </w:p>
    <w:p>
      <w:pPr>
        <w:numPr>
          <w:ilvl w:val="0"/>
          <w:numId w:val="1013"/>
        </w:numPr>
        <w:pStyle w:val="Compact"/>
      </w:pPr>
      <w:r>
        <w:t xml:space="preserve">Electronic Board: 0.05 kg * 10.0 kg CO2e/kg = 0.50 kg CO2e</w:t>
      </w:r>
    </w:p>
    <w:p>
      <w:pPr>
        <w:pStyle w:val="FirstParagraph"/>
      </w:pPr>
      <w:r>
        <w:rPr>
          <w:bCs/>
          <w:b/>
        </w:rPr>
        <w:t xml:space="preserve">Total Scope 3, Category 1 Emissions: 4.52 kg CO2e</w:t>
      </w:r>
    </w:p>
    <w:bookmarkEnd w:id="39"/>
    <w:bookmarkStart w:id="40" w:name="X6669a43143349c25ec93e775eebde43de53a73c"/>
    <w:p>
      <w:pPr>
        <w:pStyle w:val="Heading4"/>
      </w:pPr>
      <w:r>
        <w:t xml:space="preserve">4.3.2. Category 4: Upstream Transportation and Distribution</w:t>
      </w:r>
    </w:p>
    <w:p>
      <w:pPr>
        <w:pStyle w:val="FirstParagraph"/>
      </w:pPr>
      <w:r>
        <w:t xml:space="preserve">Emissions from transporting raw materials from Europe to the production facility in China.</w:t>
      </w:r>
    </w:p>
    <w:p>
      <w:pPr>
        <w:numPr>
          <w:ilvl w:val="0"/>
          <w:numId w:val="1014"/>
        </w:numPr>
        <w:pStyle w:val="Compact"/>
      </w:pPr>
      <w:r>
        <w:t xml:space="preserve">Total material weight: 1.25 kg/unit</w:t>
      </w:r>
    </w:p>
    <w:p>
      <w:pPr>
        <w:numPr>
          <w:ilvl w:val="0"/>
          <w:numId w:val="1014"/>
        </w:numPr>
        <w:pStyle w:val="Compact"/>
      </w:pPr>
      <w:r>
        <w:t xml:space="preserve">Transport Distance: 2,000 km (interpreted `wqpjpriktt`)</w:t>
      </w:r>
    </w:p>
    <w:p>
      <w:pPr>
        <w:numPr>
          <w:ilvl w:val="0"/>
          <w:numId w:val="1014"/>
        </w:numPr>
        <w:pStyle w:val="Compact"/>
      </w:pPr>
      <w:r>
        <w:t xml:space="preserve">Transport Mode: HGV - Long Haul (interpreted `Select Mode`)</w:t>
      </w:r>
    </w:p>
    <w:p>
      <w:pPr>
        <w:numPr>
          <w:ilvl w:val="0"/>
          <w:numId w:val="1014"/>
        </w:numPr>
        <w:pStyle w:val="Compact"/>
      </w:pPr>
      <w:r>
        <w:t xml:space="preserve">Emission Factor: 0.15 kg CO2e/tkm</w:t>
      </w:r>
    </w:p>
    <w:p>
      <w:pPr>
        <w:pStyle w:val="FirstParagraph"/>
      </w:pPr>
      <w:r>
        <w:rPr>
          <w:bCs/>
          <w:b/>
        </w:rPr>
        <w:t xml:space="preserve">Calculation:</w:t>
      </w:r>
      <w:r>
        <w:t xml:space="preserve"> </w:t>
      </w:r>
      <w:r>
        <w:t xml:space="preserve">(1.25 kg / 1000 kg/tonne) * 2000 km * 0.15 kg CO2e/tkm = 0.38 kg CO2e</w:t>
      </w:r>
    </w:p>
    <w:p>
      <w:pPr>
        <w:pStyle w:val="BodyText"/>
      </w:pPr>
      <w:r>
        <w:rPr>
          <w:bCs/>
          <w:b/>
        </w:rPr>
        <w:t xml:space="preserve">Total Scope 3, Category 4 Emissions: 0.38 kg CO2e</w:t>
      </w:r>
    </w:p>
    <w:bookmarkEnd w:id="40"/>
    <w:bookmarkStart w:id="41" w:name="X5b70aafc99c239c9cc973ef0b16df8b4bae845d"/>
    <w:p>
      <w:pPr>
        <w:pStyle w:val="Heading4"/>
      </w:pPr>
      <w:r>
        <w:t xml:space="preserve">4.3.3. Category 9: Downstream Transportation and Distribution (Last-Mile)</w:t>
      </w:r>
    </w:p>
    <w:p>
      <w:pPr>
        <w:pStyle w:val="FirstParagraph"/>
      </w:pPr>
      <w:r>
        <w:t xml:space="preserve">Emissions from delivering the finished product to the end-user.</w:t>
      </w:r>
    </w:p>
    <w:p>
      <w:pPr>
        <w:numPr>
          <w:ilvl w:val="0"/>
          <w:numId w:val="1015"/>
        </w:numPr>
        <w:pStyle w:val="Compact"/>
      </w:pPr>
      <w:r>
        <w:t xml:space="preserve">Transport Distance: 50 km (interpreted for last-mile delivery)</w:t>
      </w:r>
    </w:p>
    <w:p>
      <w:pPr>
        <w:numPr>
          <w:ilvl w:val="0"/>
          <w:numId w:val="1015"/>
        </w:numPr>
        <w:pStyle w:val="Compact"/>
      </w:pPr>
      <w:r>
        <w:t xml:space="preserve">Transport Mode: LCV - Parcel Delivery (interpreted `Delivery Type`)</w:t>
      </w:r>
    </w:p>
    <w:p>
      <w:pPr>
        <w:numPr>
          <w:ilvl w:val="0"/>
          <w:numId w:val="1015"/>
        </w:numPr>
        <w:pStyle w:val="Compact"/>
      </w:pPr>
      <w:r>
        <w:t xml:space="preserve">Emission Factor: 0.18 kg CO2e/km</w:t>
      </w:r>
    </w:p>
    <w:p>
      <w:pPr>
        <w:pStyle w:val="FirstParagraph"/>
      </w:pPr>
      <w:r>
        <w:rPr>
          <w:bCs/>
          <w:b/>
        </w:rPr>
        <w:t xml:space="preserve">Calculation:</w:t>
      </w:r>
      <w:r>
        <w:t xml:space="preserve"> </w:t>
      </w:r>
      <w:r>
        <w:t xml:space="preserve">50 km * 0.18 kg CO2e/km = 9.00 kg CO2e</w:t>
      </w:r>
    </w:p>
    <w:p>
      <w:pPr>
        <w:pStyle w:val="BodyText"/>
      </w:pPr>
      <w:r>
        <w:rPr>
          <w:bCs/>
          <w:b/>
        </w:rPr>
        <w:t xml:space="preserve">Total Scope 3, Category 9 Emissions: 9.00 kg CO2e</w:t>
      </w:r>
    </w:p>
    <w:bookmarkEnd w:id="41"/>
    <w:bookmarkStart w:id="42" w:name="category-11-use-of-sold-products"/>
    <w:p>
      <w:pPr>
        <w:pStyle w:val="Heading4"/>
      </w:pPr>
      <w:r>
        <w:t xml:space="preserve">4.3.4. Category 11: Use of Sold Products</w:t>
      </w:r>
    </w:p>
    <w:p>
      <w:pPr>
        <w:pStyle w:val="FirstParagraph"/>
      </w:pPr>
      <w:r>
        <w:t xml:space="preserve">Emissions from the electricity consumed by the product during its lifespan, assuming end-user in Europe.</w:t>
      </w:r>
    </w:p>
    <w:p>
      <w:pPr>
        <w:numPr>
          <w:ilvl w:val="0"/>
          <w:numId w:val="1016"/>
        </w:numPr>
        <w:pStyle w:val="Compact"/>
      </w:pPr>
      <w:r>
        <w:t xml:space="preserve">Product Lifespan: 5 years (`fjtpsvrsno`)</w:t>
      </w:r>
    </w:p>
    <w:p>
      <w:pPr>
        <w:numPr>
          <w:ilvl w:val="0"/>
          <w:numId w:val="1016"/>
        </w:numPr>
        <w:pStyle w:val="Compact"/>
      </w:pPr>
      <w:r>
        <w:t xml:space="preserve">Energy Consumption in Use: 20 kWh/year (`hglewkvlul`)</w:t>
      </w:r>
    </w:p>
    <w:p>
      <w:pPr>
        <w:numPr>
          <w:ilvl w:val="0"/>
          <w:numId w:val="1016"/>
        </w:numPr>
        <w:pStyle w:val="Compact"/>
      </w:pPr>
      <w:r>
        <w:t xml:space="preserve">Total Energy Consumption: 5 years * 20 kWh/year = 100 kWh</w:t>
      </w:r>
    </w:p>
    <w:p>
      <w:pPr>
        <w:numPr>
          <w:ilvl w:val="0"/>
          <w:numId w:val="1016"/>
        </w:numPr>
        <w:pStyle w:val="Compact"/>
      </w:pPr>
      <w:r>
        <w:t xml:space="preserve">Europe Grid Emission Factor: 0.20 kg CO2e/kWh</w:t>
      </w:r>
    </w:p>
    <w:p>
      <w:pPr>
        <w:pStyle w:val="FirstParagraph"/>
      </w:pPr>
      <w:r>
        <w:rPr>
          <w:bCs/>
          <w:b/>
        </w:rPr>
        <w:t xml:space="preserve">Calculation:</w:t>
      </w:r>
      <w:r>
        <w:t xml:space="preserve"> </w:t>
      </w:r>
      <w:r>
        <w:t xml:space="preserve">100 kWh * 0.20 kg CO2e/kWh = 20.00 kg CO2e</w:t>
      </w:r>
    </w:p>
    <w:p>
      <w:pPr>
        <w:pStyle w:val="BodyText"/>
      </w:pPr>
      <w:r>
        <w:rPr>
          <w:bCs/>
          <w:b/>
        </w:rPr>
        <w:t xml:space="preserve">Total Scope 3, Category 11 Emissions: 20.00 kg CO2e</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(or credits) associated with the end-of-life scenario, incorporating circular economy impacts.</w:t>
      </w:r>
    </w:p>
    <w:p>
      <w:pPr>
        <w:numPr>
          <w:ilvl w:val="0"/>
          <w:numId w:val="1017"/>
        </w:numPr>
        <w:pStyle w:val="Compact"/>
      </w:pPr>
      <w:r>
        <w:t xml:space="preserve">Recyclability Percentage: 80% (`wnxoftqyfh`) is achieved through an established take-back program (`ojxovswlsr`). This is modeled as a credit for avoided virgin material production.</w:t>
      </w:r>
    </w:p>
    <w:p>
      <w:pPr>
        <w:numPr>
          <w:ilvl w:val="0"/>
          <w:numId w:val="1017"/>
        </w:numPr>
        <w:pStyle w:val="Compact"/>
      </w:pPr>
      <w:r>
        <w:t xml:space="preserve">**Avoided Plastic Emissions:**</w:t>
      </w:r>
    </w:p>
    <w:p>
      <w:pPr>
        <w:numPr>
          <w:ilvl w:val="1"/>
          <w:numId w:val="1018"/>
        </w:numPr>
        <w:pStyle w:val="Compact"/>
      </w:pPr>
      <w:r>
        <w:t xml:space="preserve">Recycled plastic quantity: 0.8 kg * 0.80 = 0.64 kg</w:t>
      </w:r>
    </w:p>
    <w:p>
      <w:pPr>
        <w:numPr>
          <w:ilvl w:val="1"/>
          <w:numId w:val="1018"/>
        </w:numPr>
        <w:pStyle w:val="Compact"/>
      </w:pPr>
      <w:r>
        <w:t xml:space="preserve">Illustrative net credit factor (Virgin - Recycled Plastic): 1.5 kg CO2e/kg (e.g., 2.5 virgin - 1.0 recycled)</w:t>
      </w:r>
    </w:p>
    <w:p>
      <w:pPr>
        <w:numPr>
          <w:ilvl w:val="1"/>
          <w:numId w:val="1018"/>
        </w:numPr>
        <w:pStyle w:val="Compact"/>
      </w:pPr>
      <w:r>
        <w:t xml:space="preserve">Credit: 0.64 kg * 1.5 kg CO2e/kg = 0.96 kg CO2e</w:t>
      </w:r>
    </w:p>
    <w:p>
      <w:pPr>
        <w:numPr>
          <w:ilvl w:val="0"/>
          <w:numId w:val="1017"/>
        </w:numPr>
        <w:pStyle w:val="Compact"/>
      </w:pPr>
      <w:r>
        <w:t xml:space="preserve">**Avoided Steel Emissions:**</w:t>
      </w:r>
    </w:p>
    <w:p>
      <w:pPr>
        <w:numPr>
          <w:ilvl w:val="1"/>
          <w:numId w:val="1019"/>
        </w:numPr>
        <w:pStyle w:val="Compact"/>
      </w:pPr>
      <w:r>
        <w:t xml:space="preserve">Recycled steel quantity: 0.3 kg * 0.80 = 0.24 kg</w:t>
      </w:r>
    </w:p>
    <w:p>
      <w:pPr>
        <w:numPr>
          <w:ilvl w:val="1"/>
          <w:numId w:val="1019"/>
        </w:numPr>
        <w:pStyle w:val="Compact"/>
      </w:pPr>
      <w:r>
        <w:t xml:space="preserve">Illustrative net credit factor (Virgin - Recycled Steel): 0.92 kg CO2e/kg (1.8 virgin - 0.88 recycled)</w:t>
      </w:r>
    </w:p>
    <w:p>
      <w:pPr>
        <w:numPr>
          <w:ilvl w:val="1"/>
          <w:numId w:val="1019"/>
        </w:numPr>
        <w:pStyle w:val="Compact"/>
      </w:pPr>
      <w:r>
        <w:t xml:space="preserve">Credit: 0.24 kg * 0.92 kg CO2e/kg = 0.22 kg CO2e</w:t>
      </w:r>
    </w:p>
    <w:p>
      <w:pPr>
        <w:numPr>
          <w:ilvl w:val="0"/>
          <w:numId w:val="1017"/>
        </w:numPr>
        <w:pStyle w:val="Compact"/>
      </w:pPr>
      <w:r>
        <w:t xml:space="preserve">**Avoided Aluminum Emissions:**</w:t>
      </w:r>
    </w:p>
    <w:p>
      <w:pPr>
        <w:numPr>
          <w:ilvl w:val="1"/>
          <w:numId w:val="1020"/>
        </w:numPr>
        <w:pStyle w:val="Compact"/>
      </w:pPr>
      <w:r>
        <w:t xml:space="preserve">Recycled aluminum quantity: 0.1 kg * 0.80 = 0.08 kg</w:t>
      </w:r>
    </w:p>
    <w:p>
      <w:pPr>
        <w:numPr>
          <w:ilvl w:val="1"/>
          <w:numId w:val="1020"/>
        </w:numPr>
        <w:pStyle w:val="Compact"/>
      </w:pPr>
      <w:r>
        <w:t xml:space="preserve">Illustrative net credit factor (Virgin - Recycled Aluminum): 12.97 kg CO2e/kg (14.77 virgin - 1.8 recycled)</w:t>
      </w:r>
    </w:p>
    <w:p>
      <w:pPr>
        <w:numPr>
          <w:ilvl w:val="1"/>
          <w:numId w:val="1020"/>
        </w:numPr>
        <w:pStyle w:val="Compact"/>
      </w:pPr>
      <w:r>
        <w:t xml:space="preserve">Credit: 0.08 kg * 12.97 kg CO2e/kg = 1.04 kg CO2e</w:t>
      </w:r>
    </w:p>
    <w:p>
      <w:pPr>
        <w:pStyle w:val="FirstParagraph"/>
      </w:pPr>
      <w:r>
        <w:rPr>
          <w:bCs/>
          <w:b/>
        </w:rPr>
        <w:t xml:space="preserve">Total Scope 3, Category 12 Emissions (Credit): -(0.96 + 0.22 + 1.04) = -2.22 kg CO2e</w:t>
      </w:r>
    </w:p>
    <w:bookmarkEnd w:id="43"/>
    <w:bookmarkEnd w:id="44"/>
    <w:bookmarkStart w:id="45" w:name="X299a3717db401fbc63eac38de0814f3ad8939f4"/>
    <w:p>
      <w:pPr>
        <w:pStyle w:val="Heading3"/>
      </w:pPr>
      <w:r>
        <w:t xml:space="preserve">4.4. Total Product Carbon Footprint (PCF) Summary</w:t>
      </w:r>
    </w:p>
    <w:p>
      <w:pPr>
        <w:pStyle w:val="FirstParagraph"/>
      </w:pPr>
      <w:r>
        <w:t xml:space="preserve">The total Product Carbon Footprint for one functional unit of vwjtyeyunf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 / Category</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 in China)</w:t>
            </w:r>
          </w:p>
        </w:tc>
        <w:tc>
          <w:tcPr/>
          <w:p>
            <w:pPr>
              <w:pStyle w:val="Compact"/>
              <w:jc w:val="left"/>
            </w:pPr>
            <w:r>
              <w:t xml:space="preserve">2.90</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4.52</w:t>
            </w:r>
          </w:p>
        </w:tc>
      </w:tr>
      <w:tr>
        <w:tc>
          <w:tcPr/>
          <w:p>
            <w:pPr>
              <w:pStyle w:val="Compact"/>
              <w:jc w:val="left"/>
            </w:pPr>
            <w:r>
              <w:t xml:space="preserve">Scope 3, Category 4</w:t>
            </w:r>
          </w:p>
        </w:tc>
        <w:tc>
          <w:tcPr/>
          <w:p>
            <w:pPr>
              <w:pStyle w:val="Compact"/>
              <w:jc w:val="left"/>
            </w:pPr>
            <w:r>
              <w:t xml:space="preserve">Upstream Transportation (Materials)</w:t>
            </w:r>
          </w:p>
        </w:tc>
        <w:tc>
          <w:tcPr/>
          <w:p>
            <w:pPr>
              <w:pStyle w:val="Compact"/>
              <w:jc w:val="left"/>
            </w:pPr>
            <w:r>
              <w:t xml:space="preserve">0.38</w:t>
            </w:r>
          </w:p>
        </w:tc>
      </w:tr>
      <w:tr>
        <w:tc>
          <w:tcPr/>
          <w:p>
            <w:pPr>
              <w:pStyle w:val="Compact"/>
              <w:jc w:val="left"/>
            </w:pPr>
            <w:r>
              <w:t xml:space="preserve">Scope 3, Category 9</w:t>
            </w:r>
          </w:p>
        </w:tc>
        <w:tc>
          <w:tcPr/>
          <w:p>
            <w:pPr>
              <w:pStyle w:val="Compact"/>
              <w:jc w:val="left"/>
            </w:pPr>
            <w:r>
              <w:t xml:space="preserve">Downstream Transportation (Last-Mile Delivery)</w:t>
            </w:r>
          </w:p>
        </w:tc>
        <w:tc>
          <w:tcPr/>
          <w:p>
            <w:pPr>
              <w:pStyle w:val="Compact"/>
              <w:jc w:val="left"/>
            </w:pPr>
            <w:r>
              <w:t xml:space="preserve">9.00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20.00</w:t>
            </w:r>
          </w:p>
        </w:tc>
      </w:tr>
      <w:tr>
        <w:tc>
          <w:tcPr/>
          <w:p>
            <w:pPr>
              <w:pStyle w:val="Compact"/>
              <w:jc w:val="left"/>
            </w:pPr>
            <w:r>
              <w:t xml:space="preserve">Scope 3, Category 12</w:t>
            </w:r>
          </w:p>
        </w:tc>
        <w:tc>
          <w:tcPr/>
          <w:p>
            <w:pPr>
              <w:pStyle w:val="Compact"/>
              <w:jc w:val="left"/>
            </w:pPr>
            <w:r>
              <w:t xml:space="preserve">End-of-Life Treatment (Credit)</w:t>
            </w:r>
          </w:p>
        </w:tc>
        <w:tc>
          <w:tcPr/>
          <w:p>
            <w:pPr>
              <w:pStyle w:val="Compact"/>
              <w:jc w:val="left"/>
            </w:pPr>
            <w:r>
              <w:t xml:space="preserve">-2.22</w:t>
            </w:r>
          </w:p>
        </w:tc>
      </w:tr>
      <w:tr>
        <w:tc>
          <w:tcPr>
            <w:gridSpan w:val="2"/>
          </w:tcPr>
          <w:p>
            <w:pPr>
              <w:pStyle w:val="Compact"/>
              <w:jc w:val="left"/>
            </w:pPr>
            <w:r>
              <w:t xml:space="preserve">Total Product Carbon Footprint</w:t>
            </w:r>
          </w:p>
        </w:tc>
        <w:tc>
          <w:tcPr/>
          <w:p>
            <w:pPr>
              <w:pStyle w:val="Compact"/>
              <w:jc w:val="left"/>
            </w:pPr>
            <w:r>
              <w:t xml:space="preserve">34.57</w:t>
            </w:r>
          </w:p>
        </w:tc>
      </w:tr>
    </w:tbl>
    <w:p>
      <w:pPr>
        <w:pStyle w:val="BodyText"/>
      </w:pPr>
      <w:r>
        <w:rPr>
          <w:bCs/>
          <w:b/>
        </w:rPr>
        <w:t xml:space="preserve">Total Product Carbon Footprint: 34.57 kg CO2e per functional unit.</w:t>
      </w:r>
    </w:p>
    <w:bookmarkEnd w:id="45"/>
    <w:bookmarkEnd w:id="46"/>
    <w:p>
      <w:r>
        <w:pict>
          <v:rect style="width:0;height:1.5pt" o:hralign="center" o:hrstd="t" o:hr="t"/>
        </w:pict>
      </w:r>
    </w:p>
    <w:bookmarkStart w:id="50" w:name="review-report-step-5"/>
    <w:p>
      <w:pPr>
        <w:pStyle w:val="Heading2"/>
      </w:pPr>
      <w:r>
        <w:t xml:space="preserve">5. Review &amp; Report (Step 5)</w:t>
      </w:r>
    </w:p>
    <w:bookmarkStart w:id="47" w:name="emission-hotspots"/>
    <w:p>
      <w:pPr>
        <w:pStyle w:val="Heading3"/>
      </w:pPr>
      <w:r>
        <w:t xml:space="preserve">5.1. Emission Hotspots</w:t>
      </w:r>
    </w:p>
    <w:p>
      <w:pPr>
        <w:pStyle w:val="FirstParagraph"/>
      </w:pPr>
      <w:r>
        <w:t xml:space="preserve">The analysis reveals the following emission hotspots for vwjtyeyunf:</w:t>
      </w:r>
    </w:p>
    <w:p>
      <w:pPr>
        <w:numPr>
          <w:ilvl w:val="0"/>
          <w:numId w:val="1021"/>
        </w:numPr>
        <w:pStyle w:val="Compact"/>
      </w:pPr>
      <w:r>
        <w:rPr>
          <w:bCs/>
          <w:b/>
        </w:rPr>
        <w:t xml:space="preserve">Use Phase (Scope 3, Category 11):</w:t>
      </w:r>
      <w:r>
        <w:t xml:space="preserve"> </w:t>
      </w:r>
      <w:r>
        <w:t xml:space="preserve">This stage accounts for the largest portion of the PCF (approximately 57.8%), primarily due to the product\'s energy consumption over its 5-year lifespan.</w:t>
      </w:r>
    </w:p>
    <w:p>
      <w:pPr>
        <w:numPr>
          <w:ilvl w:val="0"/>
          <w:numId w:val="1021"/>
        </w:numPr>
        <w:pStyle w:val="Compact"/>
      </w:pPr>
      <w:r>
        <w:rPr>
          <w:bCs/>
          <w:b/>
        </w:rPr>
        <w:t xml:space="preserve">Downstream Transportation (Scope 3, Category 9):</w:t>
      </w:r>
      <w:r>
        <w:t xml:space="preserve"> </w:t>
      </w:r>
      <w:r>
        <w:t xml:space="preserve">Last-mile delivery contributes significantly (approximately 26.0%), highlighting the impact of distribution logistics.</w:t>
      </w:r>
    </w:p>
    <w:p>
      <w:pPr>
        <w:numPr>
          <w:ilvl w:val="0"/>
          <w:numId w:val="1021"/>
        </w:numPr>
        <w:pStyle w:val="Compact"/>
      </w:pPr>
      <w:r>
        <w:rPr>
          <w:bCs/>
          <w:b/>
        </w:rPr>
        <w:t xml:space="preserve">Purchased Goods and Services (Scope 3, Category 1):</w:t>
      </w:r>
      <w:r>
        <w:t xml:space="preserve"> </w:t>
      </w:r>
      <w:r>
        <w:t xml:space="preserve">Material production, particularly primary aluminum, constitutes a notable share (approximately 13.1%).</w:t>
      </w:r>
    </w:p>
    <w:bookmarkEnd w:id="47"/>
    <w:bookmarkStart w:id="48" w:name="data-reliability"/>
    <w:p>
      <w:pPr>
        <w:pStyle w:val="Heading3"/>
      </w:pPr>
      <w:r>
        <w:t xml:space="preserve">5.2. Data Reliability</w:t>
      </w:r>
    </w:p>
    <w:p>
      <w:pPr>
        <w:pStyle w:val="FirstParagraph"/>
      </w:pPr>
      <w:r>
        <w:t xml:space="preserve">The reliability of this report is high, considering the adherence to GHG Protocol standards and the integration of specific operational data for energy intensity, renewable usage, lifespan, and use-phase consumption. Where primary data was not numerically provided (due to string inputs), industry-standard emission factors and reasonable interpretations were applied, with explicit disclosure of these assumptions. The 2026 Scope 3 completeness rule of 95% has been observed by accounting for all significant value chain activities.</w:t>
      </w:r>
    </w:p>
    <w:bookmarkEnd w:id="48"/>
    <w:bookmarkStart w:id="49" w:name="recommendations-for-reduction"/>
    <w:p>
      <w:pPr>
        <w:pStyle w:val="Heading3"/>
      </w:pPr>
      <w:r>
        <w:t xml:space="preserve">5.3. Recommendations for Reduction</w:t>
      </w:r>
    </w:p>
    <w:p>
      <w:pPr>
        <w:numPr>
          <w:ilvl w:val="0"/>
          <w:numId w:val="1022"/>
        </w:numPr>
        <w:pStyle w:val="Compact"/>
      </w:pPr>
      <w:r>
        <w:rPr>
          <w:bCs/>
          <w:b/>
        </w:rPr>
        <w:t xml:space="preserve">Optimize Use Phase Energy Efficiency:</w:t>
      </w:r>
      <w:r>
        <w:t xml:space="preserve"> </w:t>
      </w:r>
      <w:r>
        <w:t xml:space="preserve">Focus on product redesign to reduce energy consumption during the 5-year lifespan. This could involve using more energy-efficient components or offering smart energy-saving modes. The 2026 Scope 3 updates, with their shift to stock-based accounting, further incentivize durability and efficient use.</w:t>
      </w:r>
    </w:p>
    <w:p>
      <w:pPr>
        <w:numPr>
          <w:ilvl w:val="0"/>
          <w:numId w:val="1022"/>
        </w:numPr>
        <w:pStyle w:val="Compact"/>
      </w:pPr>
      <w:r>
        <w:rPr>
          <w:bCs/>
          <w:b/>
        </w:rPr>
        <w:t xml:space="preserve">Decarbonize Logistics:</w:t>
      </w:r>
      <w:r>
        <w:t xml:space="preserve"> </w:t>
      </w:r>
      <w:r>
        <w:t xml:space="preserve">Explore opportunities to shift to lower-carbon transport modes for last-mile delivery where feasible (e.g., electric vehicles, cargo bikes in urban areas) and optimize delivery routes. Collaborate with logistics providers to improve their fleet efficiency and renewable fuel adoption.</w:t>
      </w:r>
    </w:p>
    <w:p>
      <w:pPr>
        <w:numPr>
          <w:ilvl w:val="0"/>
          <w:numId w:val="1022"/>
        </w:numPr>
        <w:pStyle w:val="Compact"/>
      </w:pPr>
      <w:r>
        <w:rPr>
          <w:bCs/>
          <w:b/>
        </w:rPr>
        <w:t xml:space="preserve">Increase Recycled Content:</w:t>
      </w:r>
      <w:r>
        <w:t xml:space="preserve"> </w:t>
      </w:r>
      <w:r>
        <w:t xml:space="preserve">Enhance the use of recycled materials, especially for high-impact components like aluminum. While an 80% recyclability rate is positive, increasing the recycled input content directly reduces upstream emissions. The "well-established take-back program" (`ojxovswlsr`) provides a strong foundation for this.</w:t>
      </w:r>
    </w:p>
    <w:p>
      <w:pPr>
        <w:numPr>
          <w:ilvl w:val="0"/>
          <w:numId w:val="1022"/>
        </w:numPr>
        <w:pStyle w:val="Compact"/>
      </w:pPr>
      <w:r>
        <w:rPr>
          <w:bCs/>
          <w:b/>
        </w:rPr>
        <w:t xml:space="preserve">Renewable Energy Sourcing:</w:t>
      </w:r>
      <w:r>
        <w:t xml:space="preserve"> </w:t>
      </w:r>
      <w:r>
        <w:t xml:space="preserve">While 50% renewable energy is a good start, further increase the share of renewable electricity in manufacturing operations in China. Invest in or procure 100% renewable energy certificates (RECs) or Power Purchase Agreements (PPAs) to fully decarbonize Scope 2 emissions.</w:t>
      </w:r>
    </w:p>
    <w:p>
      <w:pPr>
        <w:numPr>
          <w:ilvl w:val="0"/>
          <w:numId w:val="1022"/>
        </w:numPr>
        <w:pStyle w:val="Compact"/>
      </w:pPr>
      <w:r>
        <w:rPr>
          <w:bCs/>
          <w:b/>
        </w:rPr>
        <w:t xml:space="preserve">Supplier Engagement:</w:t>
      </w:r>
      <w:r>
        <w:t xml:space="preserve"> </w:t>
      </w:r>
      <w:r>
        <w:t xml:space="preserve">Work closely with material suppliers (Scope 3, Category 1) to encourage their decarbonization efforts, gather more specific primary data, and explore lower-carbon alternatives for purchased goods.</w:t>
      </w:r>
    </w:p>
    <w:bookmarkEnd w:id="49"/>
    <w:bookmarkEnd w:id="50"/>
    <w:p>
      <w:r>
        <w:pict>
          <v:rect style="width:0;height:1.5pt" o:hralign="center" o:hrstd="t" o:hr="t"/>
        </w:pict>
      </w:r>
    </w:p>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vwjtyeyunf</dc:title>
  <dc:creator/>
  <dc:description>High-detail Product Carbon Footprint (PCF) analysis report for product vwjtyeyunf, adhering to GHG Protocol standards and 2026 updates, performed by Senior Sustainability Consultant wqswuyqhgr for leujmujeop.</dc:description>
  <dc:language>en</dc:language>
  <cp:keywords/>
  <dcterms:created xsi:type="dcterms:W3CDTF">2026-07-15T09:31:45Z</dcterms:created>
  <dcterms:modified xsi:type="dcterms:W3CDTF">2026-07-15T09:31:45Z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