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vuzvofxpmw</w:t>
      </w:r>
      <w:r>
        <w:t xml:space="preserve"> </w:t>
      </w:r>
      <w:r>
        <w:t xml:space="preserve">-</w:t>
      </w:r>
      <w:r>
        <w:t xml:space="preserve"> </w:t>
      </w:r>
      <w:r>
        <w:t xml:space="preserve">svrnjttdew</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vuzvofxpmw"/>
    <w:p>
      <w:pPr>
        <w:pStyle w:val="Heading2"/>
      </w:pPr>
      <w:r>
        <w:t xml:space="preserve">for vuzvofxpmw</w:t>
      </w:r>
    </w:p>
    <w:p>
      <w:pPr>
        <w:pStyle w:val="FirstParagraph"/>
      </w:pPr>
      <w:r>
        <w:rPr>
          <w:bCs/>
          <w:b/>
        </w:rPr>
        <w:t xml:space="preserve">Company Name:</w:t>
      </w:r>
      <w:r>
        <w:t xml:space="preserve"> </w:t>
      </w:r>
      <w:r>
        <w:t xml:space="preserve">svrnjttdew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rzjimoqvwf</w:t>
      </w:r>
    </w:p>
    <w:p>
      <w:pPr>
        <w:pStyle w:val="BodyText"/>
      </w:pPr>
      <w:r>
        <w:t xml:space="preserve">Disclaimer: This report is generated based on available data and industry standards. While every effort has been made to ensure accuracy, the actual environmental impact may vary depending on specific operational conditions and data availability.</w:t>
      </w:r>
    </w:p>
    <w:bookmarkEnd w:id="20"/>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vuzvofxpmw</w:t>
      </w:r>
    </w:p>
    <w:p>
      <w:pPr>
        <w:pStyle w:val="BodyText"/>
      </w:pPr>
      <w:r>
        <w:rPr>
          <w:bCs/>
          <w:b/>
        </w:rPr>
        <w:t xml:space="preserve">Company:</w:t>
      </w:r>
      <w:r>
        <w:t xml:space="preserve"> </w:t>
      </w:r>
      <w:r>
        <w:t xml:space="preserve">svrnjttdew</w:t>
      </w:r>
    </w:p>
    <w:p>
      <w:pPr>
        <w:pStyle w:val="BodyText"/>
      </w:pPr>
      <w:r>
        <w:rPr>
          <w:bCs/>
          <w:b/>
        </w:rPr>
        <w:t xml:space="preserve">Generated Date:</w:t>
      </w:r>
      <w:r>
        <w:t xml:space="preserve"> </w:t>
      </w:r>
      <w:r>
        <w:t xml:space="preserve">May 20,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\'vuzvofxpmw\', manufactured by \'svrnjttdew\'. The analysis, conducted by Senior Sustainability Consultant \'rzjimoqvwf\', adheres strictly to the GHG Protocol standards, including the 2026 Land Sector and Removals (LSR) update and a minimum of 95% Scope 3 coverage. The primary goal is to quantify the greenhouse gas (GHG) emissions associated with the product\'s entire lifecycle, from material acquisition through manufacturing, transport, use, and end-of-life. This comprehensive assessment aims to identify emission hotspots and provide actionable insights for \'svrnjttdew\' to enhance its sustainability performance and reduce its environmental impact.</w:t>
      </w:r>
    </w:p>
    <w:p>
      <w:r>
        <w:pict>
          <v:rect style="width:0;height:1.5pt" o:hralign="center" o:hrstd="t" o:hr="t"/>
        </w:pict>
      </w:r>
    </w:p>
    <w:bookmarkEnd w:id="23"/>
    <w:bookmarkStart w:id="27" w:name="introduction-and-methodology"/>
    <w:p>
      <w:pPr>
        <w:pStyle w:val="Heading2"/>
      </w:pPr>
      <w:r>
        <w:t xml:space="preserve">1. Introduction and Methodology</w:t>
      </w:r>
    </w:p>
    <w:bookmarkStart w:id="24" w:name="project-parameters"/>
    <w:p>
      <w:pPr>
        <w:pStyle w:val="Heading3"/>
      </w:pPr>
      <w:r>
        <w:t xml:space="preserve">1.1 Project Parameters</w:t>
      </w:r>
    </w:p>
    <w:p>
      <w:pPr>
        <w:numPr>
          <w:ilvl w:val="0"/>
          <w:numId w:val="1001"/>
        </w:numPr>
        <w:pStyle w:val="Compact"/>
      </w:pPr>
      <w:r>
        <w:rPr>
          <w:bCs/>
          <w:b/>
        </w:rPr>
        <w:t xml:space="preserve">Company Name:</w:t>
      </w:r>
      <w:r>
        <w:t xml:space="preserve"> </w:t>
      </w:r>
      <w:r>
        <w:t xml:space="preserve">svrnjttdew</w:t>
      </w:r>
    </w:p>
    <w:p>
      <w:pPr>
        <w:numPr>
          <w:ilvl w:val="0"/>
          <w:numId w:val="1001"/>
        </w:numPr>
        <w:pStyle w:val="Compact"/>
      </w:pPr>
      <w:r>
        <w:rPr>
          <w:bCs/>
          <w:b/>
        </w:rPr>
        <w:t xml:space="preserve">Senior Sustainability Consultant:</w:t>
      </w:r>
      <w:r>
        <w:t xml:space="preserve"> </w:t>
      </w:r>
      <w:r>
        <w:t xml:space="preserve">rzjimoqvwf</w:t>
      </w:r>
    </w:p>
    <w:p>
      <w:pPr>
        <w:numPr>
          <w:ilvl w:val="0"/>
          <w:numId w:val="1001"/>
        </w:numPr>
        <w:pStyle w:val="Compact"/>
      </w:pPr>
      <w:r>
        <w:rPr>
          <w:bCs/>
          <w:b/>
        </w:rPr>
        <w:t xml:space="preserve">Product Name:</w:t>
      </w:r>
      <w:r>
        <w:t xml:space="preserve"> </w:t>
      </w:r>
      <w:r>
        <w:t xml:space="preserve">vuzvofxpmw (Assumed to be a "Smart Home Device" for illustrative calculations)</w:t>
      </w:r>
    </w:p>
    <w:p>
      <w:pPr>
        <w:numPr>
          <w:ilvl w:val="0"/>
          <w:numId w:val="1001"/>
        </w:numPr>
        <w:pStyle w:val="Compact"/>
      </w:pPr>
      <w:r>
        <w:rPr>
          <w:bCs/>
          <w:b/>
        </w:rPr>
        <w:t xml:space="preserve">Functional Unit:</w:t>
      </w:r>
      <w:r>
        <w:t xml:space="preserve"> </w:t>
      </w:r>
      <w:r>
        <w:t xml:space="preserve">1.0 unit of vuzvofxpmw</w:t>
      </w:r>
    </w:p>
    <w:p>
      <w:pPr>
        <w:numPr>
          <w:ilvl w:val="0"/>
          <w:numId w:val="1001"/>
        </w:numPr>
        <w:pStyle w:val="Compact"/>
      </w:pPr>
      <w:r>
        <w:rPr>
          <w:bCs/>
          <w:b/>
        </w:rPr>
        <w:t xml:space="preserve">System Boundary:</w:t>
      </w:r>
      <w:r>
        <w:t xml:space="preserve"> </w:t>
      </w:r>
      <w:r>
        <w:t xml:space="preserve">Cradle-to-grave. While the initial focus for primary data collection is \'factory_gate\', the analysis expands to include all life cycle stages as per the detailed requirements (Use Phase,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bookmarkEnd w:id="24"/>
    <w:bookmarkStart w:id="25" w:name="methodology-followed"/>
    <w:p>
      <w:pPr>
        <w:pStyle w:val="Heading3"/>
      </w:pPr>
      <w:r>
        <w:t xml:space="preserve">1.2 Methodology Followed</w:t>
      </w:r>
    </w:p>
    <w:p>
      <w:pPr>
        <w:pStyle w:val="FirstParagraph"/>
      </w:pPr>
      <w:r>
        <w:t xml:space="preserve">The PCF analysis was conducted in five key steps, aligning with established lifecycle assessment (LCA) principles and GHG Protocol requirements:</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2"/>
        </w:numPr>
        <w:pStyle w:val="Compact"/>
      </w:pPr>
      <w:r>
        <w:rPr>
          <w:bCs/>
          <w:b/>
        </w:rPr>
        <w:t xml:space="preserve">Map Lifecycle (LCI Inventory Stages):</w:t>
      </w:r>
      <w:r>
        <w:t xml:space="preserve"> </w:t>
      </w:r>
      <w:r>
        <w:t xml:space="preserve">Identification of all processes and flows within the product\'s lifecycle.</w:t>
      </w:r>
    </w:p>
    <w:p>
      <w:pPr>
        <w:numPr>
          <w:ilvl w:val="0"/>
          <w:numId w:val="1002"/>
        </w:numPr>
        <w:pStyle w:val="Compact"/>
      </w:pPr>
      <w:r>
        <w:rPr>
          <w:bCs/>
          <w:b/>
        </w:rPr>
        <w:t xml:space="preserve">Collect Data:</w:t>
      </w:r>
      <w:r>
        <w:t xml:space="preserve"> </w:t>
      </w:r>
      <w:r>
        <w:t xml:space="preserve">Gathering of primary and secondary data points for all identified stages.</w:t>
      </w:r>
    </w:p>
    <w:p>
      <w:pPr>
        <w:numPr>
          <w:ilvl w:val="0"/>
          <w:numId w:val="1002"/>
        </w:numPr>
        <w:pStyle w:val="Compact"/>
      </w:pPr>
      <w:r>
        <w:rPr>
          <w:bCs/>
          <w:b/>
        </w:rPr>
        <w:t xml:space="preserve">Calculate Emissions:</w:t>
      </w:r>
      <w:r>
        <w:t xml:space="preserve"> </w:t>
      </w:r>
      <w:r>
        <w:t xml:space="preserve">Quantification of GHG emissions (CO2e) using activity data multiplied by appropriate emission factors.</w:t>
      </w:r>
    </w:p>
    <w:p>
      <w:pPr>
        <w:numPr>
          <w:ilvl w:val="0"/>
          <w:numId w:val="1002"/>
        </w:numPr>
        <w:pStyle w:val="Compact"/>
      </w:pPr>
      <w:r>
        <w:rPr>
          <w:bCs/>
          <w:b/>
        </w:rPr>
        <w:t xml:space="preserve">Review &amp; Report:</w:t>
      </w:r>
      <w:r>
        <w:t xml:space="preserve"> </w:t>
      </w:r>
      <w:r>
        <w:t xml:space="preserve">Analysis of results, identification of hotspots, assessment of data reliability, and formulation of recommendations.</w:t>
      </w:r>
    </w:p>
    <w:bookmarkEnd w:id="25"/>
    <w:bookmarkStart w:id="26" w:name="ghg-protocol-adherence-and-2026-updates"/>
    <w:p>
      <w:pPr>
        <w:pStyle w:val="Heading3"/>
      </w:pPr>
      <w:r>
        <w:t xml:space="preserve">1.3 GHG Protocol Adherence and 2026 Updates</w:t>
      </w:r>
    </w:p>
    <w:p>
      <w:pPr>
        <w:pStyle w:val="FirstParagraph"/>
      </w:pPr>
      <w:r>
        <w:t xml:space="preserve">This analysis strictly adheres to the GHG Protocol Corporate Standard and Product Standard.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svrnjttdew (e.g., fuel combustion in owned vehicles/facilities).</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svrnjttdew.</w:t>
      </w:r>
    </w:p>
    <w:p>
      <w:pPr>
        <w:numPr>
          <w:ilvl w:val="0"/>
          <w:numId w:val="1003"/>
        </w:numPr>
        <w:pStyle w:val="Compact"/>
      </w:pPr>
      <w:r>
        <w:rPr>
          <w:bCs/>
          <w:b/>
        </w:rPr>
        <w:t xml:space="preserve">Scope 3:</w:t>
      </w:r>
      <w:r>
        <w:t xml:space="preserve"> </w:t>
      </w:r>
      <w:r>
        <w:t xml:space="preserve">All other indirect emissions occurring in the value chain of svrnjttdew, both upstream and downstream. This report ensures at least 95% coverage for Scope 3 reporting, as per 2026 requirements.</w:t>
      </w:r>
    </w:p>
    <w:p>
      <w:pPr>
        <w:pStyle w:val="FirstParagraph"/>
      </w:pPr>
      <w:r>
        <w:t xml:space="preserve">In line with the</w:t>
      </w:r>
      <w:r>
        <w:t xml:space="preserve"> </w:t>
      </w:r>
      <w:r>
        <w:rPr>
          <w:bCs/>
          <w:b/>
        </w:rPr>
        <w:t xml:space="preserve">2026 Land Sector and Removals (LSR) Standard Update</w:t>
      </w:r>
      <w:r>
        <w:t xml:space="preserve">, potential land-use change emissions and carbon removals, if relevant and quantifiable for the product\'s bio-based components or packaging, are considered and reported.</w:t>
      </w:r>
    </w:p>
    <w:p>
      <w:r>
        <w:pict>
          <v:rect style="width:0;height:1.5pt" o:hralign="center" o:hrstd="t" o:hr="t"/>
        </w:pict>
      </w:r>
    </w:p>
    <w:bookmarkEnd w:id="26"/>
    <w:bookmarkEnd w:id="27"/>
    <w:bookmarkStart w:id="32" w:name="step-1-define-scope"/>
    <w:p>
      <w:pPr>
        <w:pStyle w:val="Heading2"/>
      </w:pPr>
      <w:r>
        <w:t xml:space="preserve">2. Step 1: Define Scope</w:t>
      </w:r>
    </w:p>
    <w:bookmarkStart w:id="28" w:name="functional-unit"/>
    <w:p>
      <w:pPr>
        <w:pStyle w:val="Heading3"/>
      </w:pPr>
      <w:r>
        <w:t xml:space="preserve">2.1 Functional Unit</w:t>
      </w:r>
    </w:p>
    <w:p>
      <w:pPr>
        <w:pStyle w:val="FirstParagraph"/>
      </w:pPr>
      <w:r>
        <w:t xml:space="preserve">The functional unit for this PCF analysis is</w:t>
      </w:r>
      <w:r>
        <w:t xml:space="preserve"> </w:t>
      </w:r>
      <w:r>
        <w:rPr>
          <w:bCs/>
          <w:b/>
        </w:rPr>
        <w:t xml:space="preserve">1.0 unit of \'vuzvofxpmw\'</w:t>
      </w:r>
      <w:r>
        <w:t xml:space="preserve">. This serves as the reference flow to which all inputs and outputs are related, ensuring consistency and comparability of results.</w:t>
      </w:r>
    </w:p>
    <w:bookmarkEnd w:id="28"/>
    <w:bookmarkStart w:id="29" w:name="system-boundary"/>
    <w:p>
      <w:pPr>
        <w:pStyle w:val="Heading3"/>
      </w:pPr>
      <w:r>
        <w:t xml:space="preserve">2.2 System Boundary</w:t>
      </w:r>
    </w:p>
    <w:p>
      <w:pPr>
        <w:pStyle w:val="FirstParagraph"/>
      </w:pPr>
      <w:r>
        <w:t xml:space="preserve">The system boundary for this analysis is</w:t>
      </w:r>
      <w:r>
        <w:t xml:space="preserve"> </w:t>
      </w:r>
      <w:r>
        <w:rPr>
          <w:bCs/>
          <w:b/>
        </w:rPr>
        <w:t xml:space="preserve">cradle-to-grave</w:t>
      </w:r>
      <w:r>
        <w:t xml:space="preserve">. While the initial production boundary is defined as \'factory_gate\', the analysis extends to cover the entire product lifecycle, including:</w:t>
      </w:r>
    </w:p>
    <w:p>
      <w:pPr>
        <w:numPr>
          <w:ilvl w:val="0"/>
          <w:numId w:val="1004"/>
        </w:numPr>
        <w:pStyle w:val="Compact"/>
      </w:pPr>
      <w:r>
        <w:rPr>
          <w:bCs/>
          <w:b/>
        </w:rPr>
        <w:t xml:space="preserve">Upstream (Raw Material Acquisition &amp; Pre-processing):</w:t>
      </w:r>
      <w:r>
        <w:t xml:space="preserve"> </w:t>
      </w:r>
      <w:r>
        <w:t xml:space="preserve">Extraction, processing, and manufacturing of all raw materials and components (e.g., metals, plastics, silicon, packaging).</w:t>
      </w:r>
    </w:p>
    <w:p>
      <w:pPr>
        <w:numPr>
          <w:ilvl w:val="0"/>
          <w:numId w:val="1004"/>
        </w:numPr>
        <w:pStyle w:val="Compact"/>
      </w:pPr>
      <w:r>
        <w:rPr>
          <w:bCs/>
          <w:b/>
        </w:rPr>
        <w:t xml:space="preserve">Core (Production &amp; Assembly):</w:t>
      </w:r>
      <w:r>
        <w:t xml:space="preserve"> </w:t>
      </w:r>
      <w:r>
        <w:t xml:space="preserve">Manufacturing processes at svrnjttdew\'s facilities in China, including energy consumption, water usage, and waste generation.</w:t>
      </w:r>
    </w:p>
    <w:p>
      <w:pPr>
        <w:numPr>
          <w:ilvl w:val="0"/>
          <w:numId w:val="1004"/>
        </w:numPr>
        <w:pStyle w:val="Compact"/>
      </w:pPr>
      <w:r>
        <w:rPr>
          <w:bCs/>
          <w:b/>
        </w:rPr>
        <w:t xml:space="preserve">Distribution:</w:t>
      </w:r>
      <w:r>
        <w:t xml:space="preserve"> </w:t>
      </w:r>
      <w:r>
        <w:t xml:space="preserve">Transportation of the finished product to the customer.</w:t>
      </w:r>
    </w:p>
    <w:p>
      <w:pPr>
        <w:numPr>
          <w:ilvl w:val="0"/>
          <w:numId w:val="1004"/>
        </w:numPr>
        <w:pStyle w:val="Compact"/>
      </w:pPr>
      <w:r>
        <w:rPr>
          <w:bCs/>
          <w:b/>
        </w:rPr>
        <w:t xml:space="preserve">Use Phase:</w:t>
      </w:r>
      <w:r>
        <w:t xml:space="preserve"> </w:t>
      </w:r>
      <w:r>
        <w:t xml:space="preserve">Energy consumption and other impacts during the product\'s assumed lifespan by the end-user.</w:t>
      </w:r>
    </w:p>
    <w:p>
      <w:pPr>
        <w:numPr>
          <w:ilvl w:val="0"/>
          <w:numId w:val="1004"/>
        </w:numPr>
        <w:pStyle w:val="Compact"/>
      </w:pPr>
      <w:r>
        <w:rPr>
          <w:bCs/>
          <w:b/>
        </w:rPr>
        <w:t xml:space="preserve">End-of-Life (EoL):</w:t>
      </w:r>
      <w:r>
        <w:t xml:space="preserve"> </w:t>
      </w:r>
      <w:r>
        <w:t xml:space="preserve">Disposal or recycling of the product and its components after its useful life.</w:t>
      </w:r>
    </w:p>
    <w:bookmarkEnd w:id="29"/>
    <w:bookmarkStart w:id="30" w:name="geographic-scope"/>
    <w:p>
      <w:pPr>
        <w:pStyle w:val="Heading3"/>
      </w:pPr>
      <w:r>
        <w:t xml:space="preserve">2.3 Geographic Scope</w:t>
      </w:r>
    </w:p>
    <w:p>
      <w:pPr>
        <w:pStyle w:val="FirstParagraph"/>
      </w:pPr>
      <w:r>
        <w:t xml:space="preserve">The geographic scope covers the entire supply chain relevant to \'vuzvofxpmw\'.</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(implying material sourcing, component manufacturing, and/or distribution channels may have a significant footprint within Europe, even if final assembly is in China).</w:t>
      </w:r>
    </w:p>
    <w:bookmarkEnd w:id="30"/>
    <w:bookmarkStart w:id="31" w:name="allocation"/>
    <w:p>
      <w:pPr>
        <w:pStyle w:val="Heading3"/>
      </w:pPr>
      <w:r>
        <w:t xml:space="preserve">2.4 Allocation</w:t>
      </w:r>
    </w:p>
    <w:p>
      <w:pPr>
        <w:pStyle w:val="FirstParagraph"/>
      </w:pPr>
      <w:r>
        <w:t xml:space="preserve">For any co-production or multi-output processes, allocation of environmental burdens is primarily based on physical relationships (e.g., mass-based) where technically sound. Economic allocation is considered for services or where physical relationships are not appropriate. Given no specific co-products were detailed for \'vuzvofxpmw\', standard mass-based allocation is assumed for upstream material production where applicable.</w:t>
      </w:r>
    </w:p>
    <w:p>
      <w:r>
        <w:pict>
          <v:rect style="width:0;height:1.5pt" o:hralign="center" o:hrstd="t" o:hr="t"/>
        </w:pict>
      </w:r>
    </w:p>
    <w:bookmarkEnd w:id="31"/>
    <w:bookmarkEnd w:id="32"/>
    <w:bookmarkStart w:id="39" w:name="step-2-3-map-lifecycle-and-collect-data"/>
    <w:p>
      <w:pPr>
        <w:pStyle w:val="Heading2"/>
      </w:pPr>
      <w:r>
        <w:t xml:space="preserve">3. Step 2 &amp; 3: Map Lifecycle and Collect Data</w:t>
      </w:r>
    </w:p>
    <w:p>
      <w:pPr>
        <w:pStyle w:val="FirstParagraph"/>
      </w:pPr>
      <w:r>
        <w:t xml:space="preserve">This section details the primary and secondary data collected and the assumed illustrative emission factors for each lifecycle stage. Due to the placeholder nature of some input parameters, illustrative values and common industry emission factors (referenced from general Ecoinvent/DEFRA principles) are used to demonstrate the calculation methodology.</w:t>
      </w:r>
    </w:p>
    <w:bookmarkStart w:id="34" w:name="Xcd2876051cd536bce3a362a49ac5d6aa02a01bc"/>
    <w:p>
      <w:pPr>
        <w:pStyle w:val="Heading3"/>
      </w:pPr>
      <w:r>
        <w:t xml:space="preserve">3.1 Materials Acquisition and Pre-processing (Upstream - Scope 3)</w:t>
      </w:r>
    </w:p>
    <w:p>
      <w:pPr>
        <w:pStyle w:val="FirstParagraph"/>
      </w:pPr>
      <w:r>
        <w:t xml:space="preserve">The detailed Bill of Materials (BOM) \'vpqvonru\' is central to calculating the material impact. The following table provides an illustrative BOM based on the specified format, along with assumed values for quantities and emission factors. These factors encompass extraction, processing, and manufacturing of the raw materials up to the point they become components ready for assembly.</w:t>
      </w:r>
    </w:p>
    <w:bookmarkStart w:id="33" w:name="Xb2a3027ffa2009f78bb325dc7a47415ff9e9242"/>
    <w:p>
      <w:pPr>
        <w:pStyle w:val="Heading4"/>
      </w:pPr>
      <w:r>
        <w:t xml:space="preserve">Detailed Bill of Materials (BOM) - vpqvonru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 (Illustrative, Ecoinvent)</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 (Illustrative, Ecoinvent)</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 (Illustrative, Ecoinvent)</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 (Illustrative, Ecoinvent)</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 (Illustrative, Ecoinvent)</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 (Illustrative, DEFRA)</w:t>
            </w:r>
          </w:p>
        </w:tc>
        <w:tc>
          <w:tcPr/>
          <w:p>
            <w:pPr>
              <w:pStyle w:val="Compact"/>
              <w:jc w:val="left"/>
            </w:pPr>
            <w:r>
              <w:t xml:space="preserve">0.12</w:t>
            </w:r>
          </w:p>
        </w:tc>
      </w:tr>
      <w:tr>
        <w:tc>
          <w:tcPr>
            <w:gridSpan w:val="7"/>
          </w:tcPr>
          <w:p>
            <w:pPr>
              <w:pStyle w:val="Compact"/>
              <w:jc w:val="right"/>
            </w:pPr>
            <w:r>
              <w:t xml:space="preserve">Total Material Emissions:</w:t>
            </w:r>
          </w:p>
        </w:tc>
        <w:tc>
          <w:tcPr/>
          <w:p>
            <w:pPr>
              <w:pStyle w:val="Compact"/>
              <w:jc w:val="left"/>
            </w:pPr>
            <w:r>
              <w:t xml:space="preserve">3.31 kg CO2e</w:t>
            </w:r>
          </w:p>
        </w:tc>
      </w:tr>
    </w:tbl>
    <w:bookmarkEnd w:id="33"/>
    <w:bookmarkEnd w:id="34"/>
    <w:bookmarkStart w:id="35" w:name="X21e16ecc88cc06d132fd957e83c4e517d54a669"/>
    <w:p>
      <w:pPr>
        <w:pStyle w:val="Heading3"/>
      </w:pPr>
      <w:r>
        <w:t xml:space="preserve">3.2 Manufacturing / Production Phase (Core - Scope 1 &amp; 2)</w:t>
      </w:r>
    </w:p>
    <w:p>
      <w:pPr>
        <w:pStyle w:val="FirstParagraph"/>
      </w:pPr>
      <w:r>
        <w:t xml:space="preserve">The energy consumed during the production of \'vuzvofxpmw\' at svrnjttdew\'s facilities in China is a key factor. The following parameters were used:</w:t>
      </w:r>
    </w:p>
    <w:p>
      <w:pPr>
        <w:numPr>
          <w:ilvl w:val="0"/>
          <w:numId w:val="1006"/>
        </w:numPr>
        <w:pStyle w:val="Compact"/>
      </w:pPr>
      <w:r>
        <w:rPr>
          <w:bCs/>
          <w:b/>
        </w:rPr>
        <w:t xml:space="preserve">Energy Intensity (kWh/unit):</w:t>
      </w:r>
      <w:r>
        <w:t xml:space="preserve"> </w:t>
      </w:r>
      <w:r>
        <w:t xml:space="preserve">xzfesgzqmi (Assumed: 5 kWh/unit)</w:t>
      </w:r>
    </w:p>
    <w:p>
      <w:pPr>
        <w:numPr>
          <w:ilvl w:val="0"/>
          <w:numId w:val="1006"/>
        </w:numPr>
        <w:pStyle w:val="Compact"/>
      </w:pPr>
      <w:r>
        <w:rPr>
          <w:bCs/>
          <w:b/>
        </w:rPr>
        <w:t xml:space="preserve">Renewable Energy Usage (pikyoskfjz):</w:t>
      </w:r>
      <w:r>
        <w:t xml:space="preserve"> </w:t>
      </w:r>
      <w:r>
        <w:t xml:space="preserve">30%</w:t>
      </w:r>
    </w:p>
    <w:p>
      <w:pPr>
        <w:numPr>
          <w:ilvl w:val="0"/>
          <w:numId w:val="1006"/>
        </w:numPr>
        <w:pStyle w:val="Compact"/>
      </w:pPr>
      <w:r>
        <w:rPr>
          <w:bCs/>
          <w:b/>
        </w:rPr>
        <w:t xml:space="preserve">Non-renewable Energy Usage:</w:t>
      </w:r>
      <w:r>
        <w:t xml:space="preserve"> </w:t>
      </w:r>
      <w:r>
        <w:t xml:space="preserve">70%</w:t>
      </w:r>
    </w:p>
    <w:p>
      <w:pPr>
        <w:pStyle w:val="FirstParagraph"/>
      </w:pPr>
      <w:r>
        <w:t xml:space="preserve">Illustrative Emission Factor for Electricity (China Grid Mix): 0.6 kg CO2e/kWh (Source: Illustrative, IEA/Ecoinvent based).</w:t>
      </w:r>
    </w:p>
    <w:bookmarkEnd w:id="35"/>
    <w:bookmarkStart w:id="36" w:name="X11f5d096783fb9d2822b064c95541c3fbb06886"/>
    <w:p>
      <w:pPr>
        <w:pStyle w:val="Heading3"/>
      </w:pPr>
      <w:r>
        <w:t xml:space="preserve">3.3 Transportation (Upstream &amp; Downstream - Scope 3)</w:t>
      </w:r>
    </w:p>
    <w:p>
      <w:pPr>
        <w:pStyle w:val="FirstParagraph"/>
      </w:pPr>
      <w:r>
        <w:t xml:space="preserve">Transportation accounts for the movement of raw materials to the factory and the finished product to the customer.</w:t>
      </w:r>
    </w:p>
    <w:p>
      <w:pPr>
        <w:numPr>
          <w:ilvl w:val="0"/>
          <w:numId w:val="1007"/>
        </w:numPr>
        <w:pStyle w:val="Compact"/>
      </w:pPr>
      <w:r>
        <w:rPr>
          <w:bCs/>
          <w:b/>
        </w:rPr>
        <w:t xml:space="preserve">Transport Mode (Components/Raw Materials to Factory - Select Mode):</w:t>
      </w:r>
      <w:r>
        <w:t xml:space="preserve"> </w:t>
      </w:r>
      <w:r>
        <w:t xml:space="preserve">Road freight (Heavy Duty Truck)</w:t>
      </w:r>
    </w:p>
    <w:p>
      <w:pPr>
        <w:numPr>
          <w:ilvl w:val="0"/>
          <w:numId w:val="1007"/>
        </w:numPr>
        <w:pStyle w:val="Compact"/>
      </w:pPr>
      <w:r>
        <w:rPr>
          <w:bCs/>
          <w:b/>
        </w:rPr>
        <w:t xml:space="preserve">Transport Distance (ertmzjymgt):</w:t>
      </w:r>
      <w:r>
        <w:t xml:space="preserve"> </w:t>
      </w:r>
      <w:r>
        <w:t xml:space="preserve">1500 km (Assumed for average component sourcing within Europe to China shipping point)</w:t>
      </w:r>
    </w:p>
    <w:p>
      <w:pPr>
        <w:numPr>
          <w:ilvl w:val="0"/>
          <w:numId w:val="1007"/>
        </w:numPr>
        <w:pStyle w:val="Compact"/>
      </w:pPr>
      <w:r>
        <w:rPr>
          <w:bCs/>
          <w:b/>
        </w:rPr>
        <w:t xml:space="preserve">Product Weight for Transport:</w:t>
      </w:r>
      <w:r>
        <w:t xml:space="preserve"> </w:t>
      </w:r>
      <w:r>
        <w:t xml:space="preserve">0.5 kg (Total weight of product including packaging, illustrative)</w:t>
      </w:r>
    </w:p>
    <w:p>
      <w:pPr>
        <w:numPr>
          <w:ilvl w:val="0"/>
          <w:numId w:val="1007"/>
        </w:numPr>
        <w:pStyle w:val="Compact"/>
      </w:pPr>
      <w:r>
        <w:rPr>
          <w:bCs/>
          <w:b/>
        </w:rPr>
        <w:t xml:space="preserve">Last-Mile Delivery Channel (Finished Product to Customer - Delivery Type):</w:t>
      </w:r>
      <w:r>
        <w:t xml:space="preserve"> </w:t>
      </w:r>
      <w:r>
        <w:t xml:space="preserve">Road freight (Light Commercial Vehicle)</w:t>
      </w:r>
    </w:p>
    <w:p>
      <w:pPr>
        <w:numPr>
          <w:ilvl w:val="0"/>
          <w:numId w:val="1007"/>
        </w:numPr>
        <w:pStyle w:val="Compact"/>
      </w:pPr>
      <w:r>
        <w:rPr>
          <w:bCs/>
          <w:b/>
        </w:rPr>
        <w:t xml:space="preserve">Last-Mile Delivery Distance:</w:t>
      </w:r>
      <w:r>
        <w:t xml:space="preserve"> </w:t>
      </w:r>
      <w:r>
        <w:t xml:space="preserve">500 km (Assumed average for Europe-focused distribution)</w:t>
      </w:r>
    </w:p>
    <w:p>
      <w:pPr>
        <w:pStyle w:val="FirstParagraph"/>
      </w:pPr>
      <w:r>
        <w:t xml:space="preserve">Illustrative Emission Factors:</w:t>
      </w:r>
    </w:p>
    <w:p>
      <w:pPr>
        <w:numPr>
          <w:ilvl w:val="0"/>
          <w:numId w:val="1008"/>
        </w:numPr>
        <w:pStyle w:val="Compact"/>
      </w:pPr>
      <w:r>
        <w:t xml:space="preserve">Road freight (Heavy Duty Truck, &gt;16t, Euro VI): 0.09 kg CO2e/tonne-km (Source: Illustrative, DEFRA/Ecoinvent)</w:t>
      </w:r>
    </w:p>
    <w:p>
      <w:pPr>
        <w:numPr>
          <w:ilvl w:val="0"/>
          <w:numId w:val="1008"/>
        </w:numPr>
        <w:pStyle w:val="Compact"/>
      </w:pPr>
      <w:r>
        <w:t xml:space="preserve">Road freight (Light Commercial Vehicle, &lt;3.5t): 0.20 kg CO2e/tonne-km (Source: Illustrative, DEFRA/Ecoinvent)</w:t>
      </w:r>
    </w:p>
    <w:bookmarkEnd w:id="36"/>
    <w:bookmarkStart w:id="37" w:name="use-phase-downstream---scope-3"/>
    <w:p>
      <w:pPr>
        <w:pStyle w:val="Heading3"/>
      </w:pPr>
      <w:r>
        <w:t xml:space="preserve">3.4 Use Phase (Downstream - Scope 3)</w:t>
      </w:r>
    </w:p>
    <w:p>
      <w:pPr>
        <w:pStyle w:val="FirstParagraph"/>
      </w:pPr>
      <w:r>
        <w:t xml:space="preserve">The energy consumed by \'vuzvofxpmw\' during its operational life is a significant contributor to its carbon footprint.</w:t>
      </w:r>
    </w:p>
    <w:p>
      <w:pPr>
        <w:numPr>
          <w:ilvl w:val="0"/>
          <w:numId w:val="1009"/>
        </w:numPr>
        <w:pStyle w:val="Compact"/>
      </w:pPr>
      <w:r>
        <w:rPr>
          <w:bCs/>
          <w:b/>
        </w:rPr>
        <w:t xml:space="preserve">Product Lifespan (xoihqiegzy):</w:t>
      </w:r>
      <w:r>
        <w:t xml:space="preserve"> </w:t>
      </w:r>
      <w:r>
        <w:t xml:space="preserve">5 years</w:t>
      </w:r>
    </w:p>
    <w:p>
      <w:pPr>
        <w:numPr>
          <w:ilvl w:val="0"/>
          <w:numId w:val="1009"/>
        </w:numPr>
        <w:pStyle w:val="Compact"/>
      </w:pPr>
      <w:r>
        <w:rPr>
          <w:bCs/>
          <w:b/>
        </w:rPr>
        <w:t xml:space="preserve">Energy Consumption in Use (mqunnwvyle):</w:t>
      </w:r>
      <w:r>
        <w:t xml:space="preserve"> </w:t>
      </w:r>
      <w:r>
        <w:t xml:space="preserve">10 kWh/year</w:t>
      </w:r>
    </w:p>
    <w:p>
      <w:pPr>
        <w:pStyle w:val="FirstParagraph"/>
      </w:pPr>
      <w:r>
        <w:t xml:space="preserve">Illustrative Emission Factor for Electricity (European Grid Mix): 0.25 kg CO2e/kWh (Source: Illustrative, IEA/Ecoinvent based on average EU mix).</w:t>
      </w:r>
    </w:p>
    <w:bookmarkEnd w:id="37"/>
    <w:bookmarkStart w:id="38" w:name="end-of-life-eol-downstream---scope-3"/>
    <w:p>
      <w:pPr>
        <w:pStyle w:val="Heading3"/>
      </w:pPr>
      <w:r>
        <w:t xml:space="preserve">3.5 End-of-Life (EoL) (Downstream - Scope 3)</w:t>
      </w:r>
    </w:p>
    <w:p>
      <w:pPr>
        <w:pStyle w:val="FirstParagraph"/>
      </w:pPr>
      <w:r>
        <w:t xml:space="preserve">The end-of-life scenario considers the fate of the product after its useful life.</w:t>
      </w:r>
    </w:p>
    <w:p>
      <w:pPr>
        <w:numPr>
          <w:ilvl w:val="0"/>
          <w:numId w:val="1010"/>
        </w:numPr>
        <w:pStyle w:val="Compact"/>
      </w:pPr>
      <w:r>
        <w:rPr>
          <w:bCs/>
          <w:b/>
        </w:rPr>
        <w:t xml:space="preserve">Recyclability Percentage (verudrsdyd):</w:t>
      </w:r>
      <w:r>
        <w:t xml:space="preserve"> </w:t>
      </w:r>
      <w:r>
        <w:t xml:space="preserve">60%</w:t>
      </w:r>
    </w:p>
    <w:p>
      <w:pPr>
        <w:numPr>
          <w:ilvl w:val="0"/>
          <w:numId w:val="1010"/>
        </w:numPr>
        <w:pStyle w:val="Compact"/>
      </w:pPr>
      <w:r>
        <w:rPr>
          <w:bCs/>
          <w:b/>
        </w:rPr>
        <w:t xml:space="preserve">Circular/Take-back Programs (fpgqfgjzwz):</w:t>
      </w:r>
      <w:r>
        <w:t xml:space="preserve"> </w:t>
      </w:r>
      <w:r>
        <w:t xml:space="preserve">Yes (Assumed to facilitate the 60% recycling rate and potentially reduce disposal emissions)</w:t>
      </w:r>
    </w:p>
    <w:p>
      <w:pPr>
        <w:numPr>
          <w:ilvl w:val="0"/>
          <w:numId w:val="1010"/>
        </w:numPr>
        <w:pStyle w:val="Compact"/>
      </w:pPr>
      <w:r>
        <w:rPr>
          <w:bCs/>
          <w:b/>
        </w:rPr>
        <w:t xml:space="preserve">Disposal (Landfill/Incineration):</w:t>
      </w:r>
      <w:r>
        <w:t xml:space="preserve"> </w:t>
      </w:r>
      <w:r>
        <w:t xml:space="preserve">40% (remaining after recycling)</w:t>
      </w:r>
    </w:p>
    <w:p>
      <w:pPr>
        <w:pStyle w:val="FirstParagraph"/>
      </w:pPr>
      <w:r>
        <w:t xml:space="preserve">Illustrative Emission Factors/Avoided Emissions:</w:t>
      </w:r>
    </w:p>
    <w:p>
      <w:pPr>
        <w:numPr>
          <w:ilvl w:val="0"/>
          <w:numId w:val="1011"/>
        </w:numPr>
        <w:pStyle w:val="Compact"/>
      </w:pPr>
      <w:r>
        <w:t xml:space="preserve">Avoided emissions from recycling (average for mixed materials): -1.5 kg CO2e/kg (Source: Illustrative, Ecoinvent)</w:t>
      </w:r>
    </w:p>
    <w:p>
      <w:pPr>
        <w:numPr>
          <w:ilvl w:val="0"/>
          <w:numId w:val="1011"/>
        </w:numPr>
        <w:pStyle w:val="Compact"/>
      </w:pPr>
      <w:r>
        <w:t xml:space="preserve">Emissions from non-recycled waste (landfill/incineration): 1.0 kg CO2e/kg (Source: Illustrative, Ecoinvent)</w:t>
      </w:r>
    </w:p>
    <w:p>
      <w:r>
        <w:pict>
          <v:rect style="width:0;height:1.5pt" o:hralign="center" o:hrstd="t" o:hr="t"/>
        </w:pict>
      </w:r>
    </w:p>
    <w:bookmarkEnd w:id="38"/>
    <w:bookmarkEnd w:id="39"/>
    <w:bookmarkStart w:id="48" w:name="step-4-calculate-emissions"/>
    <w:p>
      <w:pPr>
        <w:pStyle w:val="Heading2"/>
      </w:pPr>
      <w:r>
        <w:t xml:space="preserve">4. Step 4: Calculate Emissions</w:t>
      </w:r>
    </w:p>
    <w:p>
      <w:pPr>
        <w:pStyle w:val="FirstParagraph"/>
      </w:pPr>
      <w:r>
        <w:t xml:space="preserve">The following section details the calculation of GHG emissions for each lifecycle stage, categorized by GHG Protocol scopes.</w:t>
      </w:r>
    </w:p>
    <w:bookmarkStart w:id="40" w:name="Xbc374b9b819252f363695326adb7c260a28ffa7"/>
    <w:p>
      <w:pPr>
        <w:pStyle w:val="Heading3"/>
      </w:pPr>
      <w:r>
        <w:t xml:space="preserve">4.1 Material Acquisition and Pre-processing (Scope 3 - Upstream)</w:t>
      </w:r>
    </w:p>
    <w:p>
      <w:pPr>
        <w:pStyle w:val="FirstParagraph"/>
      </w:pPr>
      <w:r>
        <w:t xml:space="preserve">Based on the illustrative BOM data provided in Section 3.1:</w:t>
      </w:r>
    </w:p>
    <w:p>
      <w:pPr>
        <w:pStyle w:val="BodyText"/>
      </w:pPr>
      <w:r>
        <w:rPr>
          <w:bCs/>
          <w:b/>
        </w:rPr>
        <w:t xml:space="preserve">Total Material Emissions: 3.31 kg CO2e</w:t>
      </w:r>
    </w:p>
    <w:bookmarkEnd w:id="40"/>
    <w:bookmarkStart w:id="41" w:name="manufacturing-production-phase-scope-1-2"/>
    <w:p>
      <w:pPr>
        <w:pStyle w:val="Heading3"/>
      </w:pPr>
      <w:r>
        <w:t xml:space="preserve">4.2 Manufacturing / Production Phase (Scope 1 &amp; 2)</w:t>
      </w:r>
    </w:p>
    <w:p>
      <w:pPr>
        <w:pStyle w:val="FirstParagraph"/>
      </w:pPr>
      <w:r>
        <w:rPr>
          <w:bCs/>
          <w:b/>
        </w:rPr>
        <w:t xml:space="preserve">Total Energy Consumption:</w:t>
      </w:r>
      <w:r>
        <w:t xml:space="preserve"> </w:t>
      </w:r>
      <w:r>
        <w:t xml:space="preserve">xzfesgzqmi (5 kWh/unit)</w:t>
      </w:r>
    </w:p>
    <w:p>
      <w:pPr>
        <w:pStyle w:val="BodyText"/>
      </w:pPr>
      <w:r>
        <w:rPr>
          <w:bCs/>
          <w:b/>
        </w:rPr>
        <w:t xml:space="preserve">Renewable Energy (pikyoskfjz):</w:t>
      </w:r>
      <w:r>
        <w:t xml:space="preserve"> </w:t>
      </w:r>
      <w:r>
        <w:t xml:space="preserve">30% of 5 kWh = 1.5 kWh (Assumed 0 kg CO2e for certified renewable electricity)</w:t>
      </w:r>
    </w:p>
    <w:p>
      <w:pPr>
        <w:pStyle w:val="BodyText"/>
      </w:pPr>
      <w:r>
        <w:rPr>
          <w:bCs/>
          <w:b/>
        </w:rPr>
        <w:t xml:space="preserve">Non-Renewable Energy:</w:t>
      </w:r>
      <w:r>
        <w:t xml:space="preserve"> </w:t>
      </w:r>
      <w:r>
        <w:t xml:space="preserve">70% of 5 kWh = 3.5 kWh</w:t>
      </w:r>
    </w:p>
    <w:p>
      <w:pPr>
        <w:pStyle w:val="BodyText"/>
      </w:pPr>
      <w:r>
        <w:rPr>
          <w:bCs/>
          <w:b/>
        </w:rPr>
        <w:t xml:space="preserve">Emissions from Non-Renewable Electricity (Scope 2):</w:t>
      </w:r>
      <w:r>
        <w:t xml:space="preserve"> </w:t>
      </w:r>
      <w:r>
        <w:t xml:space="preserve">3.5 kWh * 0.6 kg CO2e/kWh (China Grid) = 2.10 kg CO2e</w:t>
      </w:r>
    </w:p>
    <w:p>
      <w:pPr>
        <w:pStyle w:val="BodyText"/>
      </w:pPr>
      <w:r>
        <w:rPr>
          <w:iCs/>
          <w:i/>
        </w:rPr>
        <w:t xml:space="preserve">Note: Scope 1 emissions for direct fuel combustion are assumed negligible as \'Energy Intensity\' typically refers to purchased electricity. If direct fuels were used, they would be calculated here.</w:t>
      </w:r>
    </w:p>
    <w:p>
      <w:pPr>
        <w:pStyle w:val="BodyText"/>
      </w:pPr>
      <w:r>
        <w:rPr>
          <w:bCs/>
          <w:b/>
        </w:rPr>
        <w:t xml:space="preserve">Total Production Emissions (Scope 2): 2.10 kg CO2e</w:t>
      </w:r>
    </w:p>
    <w:bookmarkEnd w:id="41"/>
    <w:bookmarkStart w:id="44" w:name="X981923b8cb60f0edee598a5efe02199461582eb"/>
    <w:p>
      <w:pPr>
        <w:pStyle w:val="Heading3"/>
      </w:pPr>
      <w:r>
        <w:t xml:space="preserve">4.3 Transportation (Scope 3 - Upstream &amp; Downstream)</w:t>
      </w:r>
    </w:p>
    <w:bookmarkStart w:id="42" w:name="Xcf72a49eea9a3d9799e30642399b15a38d7a580"/>
    <w:p>
      <w:pPr>
        <w:pStyle w:val="Heading4"/>
      </w:pPr>
      <w:r>
        <w:t xml:space="preserve">4.3.1 Upstream Transport (Components to Factory in China)</w:t>
      </w:r>
    </w:p>
    <w:p>
      <w:pPr>
        <w:numPr>
          <w:ilvl w:val="0"/>
          <w:numId w:val="1012"/>
        </w:numPr>
        <w:pStyle w:val="Compact"/>
      </w:pPr>
      <w:r>
        <w:rPr>
          <w:bCs/>
          <w:b/>
        </w:rPr>
        <w:t xml:space="preserve">Transport Mode:</w:t>
      </w:r>
      <w:r>
        <w:t xml:space="preserve"> </w:t>
      </w:r>
      <w:r>
        <w:t xml:space="preserve">Road freight (Heavy Duty Truck)</w:t>
      </w:r>
    </w:p>
    <w:p>
      <w:pPr>
        <w:numPr>
          <w:ilvl w:val="0"/>
          <w:numId w:val="1012"/>
        </w:numPr>
        <w:pStyle w:val="Compact"/>
      </w:pPr>
      <w:r>
        <w:rPr>
          <w:bCs/>
          <w:b/>
        </w:rPr>
        <w:t xml:space="preserve">Distance:</w:t>
      </w:r>
      <w:r>
        <w:t xml:space="preserve"> </w:t>
      </w:r>
      <w:r>
        <w:t xml:space="preserve">ertmzjymgt (1500 km)</w:t>
      </w:r>
    </w:p>
    <w:p>
      <w:pPr>
        <w:numPr>
          <w:ilvl w:val="0"/>
          <w:numId w:val="1012"/>
        </w:numPr>
        <w:pStyle w:val="Compact"/>
      </w:pPr>
      <w:r>
        <w:rPr>
          <w:bCs/>
          <w:b/>
        </w:rPr>
        <w:t xml:space="preserve">Component Weight (Illustrative Total):</w:t>
      </w:r>
      <w:r>
        <w:t xml:space="preserve"> </w:t>
      </w:r>
      <w:r>
        <w:t xml:space="preserve">Let\'s assume an average of 0.4 kg of processed components for transport impact (excluding packaging, some parts might be lighter or sourced closer).</w:t>
      </w:r>
    </w:p>
    <w:p>
      <w:pPr>
        <w:numPr>
          <w:ilvl w:val="0"/>
          <w:numId w:val="1012"/>
        </w:numPr>
        <w:pStyle w:val="Compact"/>
      </w:pPr>
      <w:r>
        <w:rPr>
          <w:bCs/>
          <w:b/>
        </w:rPr>
        <w:t xml:space="preserve">Emissions:</w:t>
      </w:r>
      <w:r>
        <w:t xml:space="preserve"> </w:t>
      </w:r>
      <w:r>
        <w:t xml:space="preserve">(0.4 kg / 1000 kg/tonne) * 1500 km * 0.09 kg CO2e/tonne-km = 0.054 kg CO2e</w:t>
      </w:r>
    </w:p>
    <w:bookmarkEnd w:id="42"/>
    <w:bookmarkStart w:id="43" w:name="Xb699b7b80852e22abe9ecd96424a68a4e8ea8f3"/>
    <w:p>
      <w:pPr>
        <w:pStyle w:val="Heading4"/>
      </w:pPr>
      <w:r>
        <w:t xml:space="preserve">4.3.2 Downstream Transport (Finished Product to Customer)</w:t>
      </w:r>
    </w:p>
    <w:p>
      <w:pPr>
        <w:numPr>
          <w:ilvl w:val="0"/>
          <w:numId w:val="1013"/>
        </w:numPr>
        <w:pStyle w:val="Compact"/>
      </w:pPr>
      <w:r>
        <w:rPr>
          <w:bCs/>
          <w:b/>
        </w:rPr>
        <w:t xml:space="preserve">Transport Mode:</w:t>
      </w:r>
      <w:r>
        <w:t xml:space="preserve"> </w:t>
      </w:r>
      <w:r>
        <w:t xml:space="preserve">Last-Mile Delivery Channel (Road freight, Light Commercial Vehicle)</w:t>
      </w:r>
    </w:p>
    <w:p>
      <w:pPr>
        <w:numPr>
          <w:ilvl w:val="0"/>
          <w:numId w:val="1013"/>
        </w:numPr>
        <w:pStyle w:val="Compact"/>
      </w:pPr>
      <w:r>
        <w:rPr>
          <w:bCs/>
          <w:b/>
        </w:rPr>
        <w:t xml:space="preserve">Distance:</w:t>
      </w:r>
      <w:r>
        <w:t xml:space="preserve"> </w:t>
      </w:r>
      <w:r>
        <w:t xml:space="preserve">500 km (Illustrative)</w:t>
      </w:r>
    </w:p>
    <w:p>
      <w:pPr>
        <w:numPr>
          <w:ilvl w:val="0"/>
          <w:numId w:val="1013"/>
        </w:numPr>
        <w:pStyle w:val="Compact"/>
      </w:pPr>
      <w:r>
        <w:rPr>
          <w:bCs/>
          <w:b/>
        </w:rPr>
        <w:t xml:space="preserve">Product Weight:</w:t>
      </w:r>
      <w:r>
        <w:t xml:space="preserve"> </w:t>
      </w:r>
      <w:r>
        <w:t xml:space="preserve">0.5 kg (Illustrative, including packaging)</w:t>
      </w:r>
    </w:p>
    <w:p>
      <w:pPr>
        <w:numPr>
          <w:ilvl w:val="0"/>
          <w:numId w:val="1013"/>
        </w:numPr>
        <w:pStyle w:val="Compact"/>
      </w:pPr>
      <w:r>
        <w:rPr>
          <w:bCs/>
          <w:b/>
        </w:rPr>
        <w:t xml:space="preserve">Emissions:</w:t>
      </w:r>
      <w:r>
        <w:t xml:space="preserve"> </w:t>
      </w:r>
      <w:r>
        <w:t xml:space="preserve">(0.5 kg / 1000 kg/tonne) * 500 km * 0.20 kg CO2e/tonne-km = 0.050 kg CO2e</w:t>
      </w:r>
    </w:p>
    <w:p>
      <w:pPr>
        <w:pStyle w:val="FirstParagraph"/>
      </w:pPr>
      <w:r>
        <w:rPr>
          <w:bCs/>
          <w:b/>
        </w:rPr>
        <w:t xml:space="preserve">Total Transportation Emissions (Scope 3): 0.054 kg CO2e + 0.050 kg CO2e = 0.104 kg CO2e</w:t>
      </w:r>
    </w:p>
    <w:bookmarkEnd w:id="43"/>
    <w:bookmarkEnd w:id="44"/>
    <w:bookmarkStart w:id="45" w:name="use-phase-scope-3---downstream"/>
    <w:p>
      <w:pPr>
        <w:pStyle w:val="Heading3"/>
      </w:pPr>
      <w:r>
        <w:t xml:space="preserve">4.4 Use Phase (Scope 3 - Downstream)</w:t>
      </w:r>
    </w:p>
    <w:p>
      <w:pPr>
        <w:pStyle w:val="FirstParagraph"/>
      </w:pPr>
      <w:r>
        <w:rPr>
          <w:bCs/>
          <w:b/>
        </w:rPr>
        <w:t xml:space="preserve">Product Lifespan:</w:t>
      </w:r>
      <w:r>
        <w:t xml:space="preserve"> </w:t>
      </w:r>
      <w:r>
        <w:t xml:space="preserve">xoihqiegzy (5 years)</w:t>
      </w:r>
    </w:p>
    <w:p>
      <w:pPr>
        <w:pStyle w:val="BodyText"/>
      </w:pPr>
      <w:r>
        <w:rPr>
          <w:bCs/>
          <w:b/>
        </w:rPr>
        <w:t xml:space="preserve">Annual Energy Consumption:</w:t>
      </w:r>
      <w:r>
        <w:t xml:space="preserve"> </w:t>
      </w:r>
      <w:r>
        <w:t xml:space="preserve">mqunnwvyle (10 kWh/year)</w:t>
      </w:r>
    </w:p>
    <w:p>
      <w:pPr>
        <w:pStyle w:val="BodyText"/>
      </w:pPr>
      <w:r>
        <w:rPr>
          <w:bCs/>
          <w:b/>
        </w:rPr>
        <w:t xml:space="preserve">Total Energy Consumption over Lifespan:</w:t>
      </w:r>
      <w:r>
        <w:t xml:space="preserve"> </w:t>
      </w:r>
      <w:r>
        <w:t xml:space="preserve">10 kWh/year * 5 years = 50 kWh</w:t>
      </w:r>
    </w:p>
    <w:p>
      <w:pPr>
        <w:pStyle w:val="BodyText"/>
      </w:pPr>
      <w:r>
        <w:rPr>
          <w:bCs/>
          <w:b/>
        </w:rPr>
        <w:t xml:space="preserve">Emissions:</w:t>
      </w:r>
      <w:r>
        <w:t xml:space="preserve"> </w:t>
      </w:r>
      <w:r>
        <w:t xml:space="preserve">50 kWh * 0.25 kg CO2e/kWh (European Grid) = 12.50 kg CO2e</w:t>
      </w:r>
    </w:p>
    <w:p>
      <w:pPr>
        <w:pStyle w:val="BodyText"/>
      </w:pPr>
      <w:r>
        <w:rPr>
          <w:bCs/>
          <w:b/>
        </w:rPr>
        <w:t xml:space="preserve">Total Use Phase Emissions (Scope 3): 12.50 kg CO2e</w:t>
      </w:r>
    </w:p>
    <w:bookmarkEnd w:id="45"/>
    <w:bookmarkStart w:id="46" w:name="end-of-life-eol-scope-3---downstream"/>
    <w:p>
      <w:pPr>
        <w:pStyle w:val="Heading3"/>
      </w:pPr>
      <w:r>
        <w:t xml:space="preserve">4.5 End-of-Life (EoL) (Scope 3 - Downstream)</w:t>
      </w:r>
    </w:p>
    <w:p>
      <w:pPr>
        <w:pStyle w:val="FirstParagraph"/>
      </w:pPr>
      <w:r>
        <w:rPr>
          <w:bCs/>
          <w:b/>
        </w:rPr>
        <w:t xml:space="preserve">Product Weight for EoL (Illustrative):</w:t>
      </w:r>
      <w:r>
        <w:t xml:space="preserve"> </w:t>
      </w:r>
      <w:r>
        <w:t xml:space="preserve">0.5 kg (assuming the entire product weight at EoL)</w:t>
      </w:r>
    </w:p>
    <w:p>
      <w:pPr>
        <w:pStyle w:val="BodyText"/>
      </w:pPr>
      <w:r>
        <w:rPr>
          <w:bCs/>
          <w:b/>
        </w:rPr>
        <w:t xml:space="preserve">Recycled Material (verudrsdyd):</w:t>
      </w:r>
      <w:r>
        <w:t xml:space="preserve"> </w:t>
      </w:r>
      <w:r>
        <w:t xml:space="preserve">60% of 0.5 kg = 0.3 kg</w:t>
      </w:r>
    </w:p>
    <w:p>
      <w:pPr>
        <w:pStyle w:val="BodyText"/>
      </w:pPr>
      <w:r>
        <w:rPr>
          <w:bCs/>
          <w:b/>
        </w:rPr>
        <w:t xml:space="preserve">Disposed Material:</w:t>
      </w:r>
      <w:r>
        <w:t xml:space="preserve"> </w:t>
      </w:r>
      <w:r>
        <w:t xml:space="preserve">40% of 0.5 kg = 0.2 kg</w:t>
      </w:r>
    </w:p>
    <w:p>
      <w:pPr>
        <w:numPr>
          <w:ilvl w:val="0"/>
          <w:numId w:val="1014"/>
        </w:numPr>
        <w:pStyle w:val="Compact"/>
      </w:pPr>
      <w:r>
        <w:rPr>
          <w:bCs/>
          <w:b/>
        </w:rPr>
        <w:t xml:space="preserve">Avoided Emissions from Recycling:</w:t>
      </w:r>
      <w:r>
        <w:t xml:space="preserve"> </w:t>
      </w:r>
      <w:r>
        <w:t xml:space="preserve">0.3 kg * -1.5 kg CO2e/kg = -0.45 kg CO2e</w:t>
      </w:r>
    </w:p>
    <w:p>
      <w:pPr>
        <w:numPr>
          <w:ilvl w:val="0"/>
          <w:numId w:val="1014"/>
        </w:numPr>
        <w:pStyle w:val="Compact"/>
      </w:pPr>
      <w:r>
        <w:rPr>
          <w:bCs/>
          <w:b/>
        </w:rPr>
        <w:t xml:space="preserve">Emissions from Disposal:</w:t>
      </w:r>
      <w:r>
        <w:t xml:space="preserve"> </w:t>
      </w:r>
      <w:r>
        <w:t xml:space="preserve">0.2 kg * 1.0 kg CO2e/kg = 0.20 kg CO2e</w:t>
      </w:r>
    </w:p>
    <w:p>
      <w:pPr>
        <w:pStyle w:val="FirstParagraph"/>
      </w:pPr>
      <w:r>
        <w:t xml:space="preserve">The existence of \'Circular/Take-back Programs (fpgqfgjzwz)\' is assumed to contribute to achieving the 60% recyclability rate and optimizing the EoL processes, leading to the calculated avoided emissions.</w:t>
      </w:r>
    </w:p>
    <w:p>
      <w:pPr>
        <w:pStyle w:val="BodyText"/>
      </w:pPr>
      <w:r>
        <w:rPr>
          <w:bCs/>
          <w:b/>
        </w:rPr>
        <w:t xml:space="preserve">Total End-of-Life Emissions (Scope 3): -0.45 kg CO2e + 0.20 kg CO2e = -0.25 kg CO2e (net removal/avoidance)</w:t>
      </w:r>
    </w:p>
    <w:bookmarkEnd w:id="46"/>
    <w:bookmarkStart w:id="47" w:name="X299a3717db401fbc63eac38de0814f3ad8939f4"/>
    <w:p>
      <w:pPr>
        <w:pStyle w:val="Heading3"/>
      </w:pPr>
      <w:r>
        <w:t xml:space="preserve">4.6 Total Product Carbon Footprint (PCF) Summary</w:t>
      </w:r>
    </w:p>
    <w:p>
      <w:pPr>
        <w:pStyle w:val="FirstParagraph"/>
      </w:pPr>
      <w:r>
        <w:t xml:space="preserve">The following table summarizes the GHG emissions across the entire lifecycle of \'vuzvofxpmw\'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3.31</w:t>
            </w:r>
          </w:p>
        </w:tc>
      </w:tr>
      <w:tr>
        <w:tc>
          <w:tcPr/>
          <w:p>
            <w:pPr>
              <w:pStyle w:val="Compact"/>
              <w:jc w:val="left"/>
            </w:pPr>
            <w:r>
              <w:t xml:space="preserve">Manufacturing / Production</w:t>
            </w:r>
          </w:p>
        </w:tc>
        <w:tc>
          <w:tcPr/>
          <w:p>
            <w:pPr>
              <w:pStyle w:val="Compact"/>
              <w:jc w:val="left"/>
            </w:pPr>
            <w:r>
              <w:t xml:space="preserve">Scope 2 (Purchased Electricity)</w:t>
            </w:r>
          </w:p>
        </w:tc>
        <w:tc>
          <w:tcPr/>
          <w:p>
            <w:pPr>
              <w:pStyle w:val="Compact"/>
              <w:jc w:val="left"/>
            </w:pPr>
            <w:r>
              <w:t xml:space="preserve">2.10</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-0.25</w:t>
            </w:r>
          </w:p>
        </w:tc>
      </w:tr>
      <w:tr>
        <w:tc>
          <w:tcPr>
            <w:gridSpan w:val="2"/>
          </w:tcPr>
          <w:p>
            <w:pPr>
              <w:pStyle w:val="Compact"/>
              <w:jc w:val="right"/>
            </w:pPr>
            <w:r>
              <w:t xml:space="preserve">TOTAL PRODUCT CARBON FOOTPRINT:</w:t>
            </w:r>
          </w:p>
        </w:tc>
        <w:tc>
          <w:tcPr/>
          <w:p>
            <w:pPr>
              <w:pStyle w:val="Compact"/>
              <w:jc w:val="left"/>
            </w:pPr>
            <w:r>
              <w:t xml:space="preserve">17.26 kg CO2e</w:t>
            </w:r>
          </w:p>
        </w:tc>
      </w:tr>
    </w:tbl>
    <w:p>
      <w:pPr>
        <w:pStyle w:val="BodyText"/>
      </w:pPr>
      <w:r>
        <w:rPr>
          <w:bCs/>
          <w:b/>
        </w:rPr>
        <w:t xml:space="preserve">Total Product Carbon Footprint for \'vuzvofxpmw\': 17.26 kg CO2e per functional unit.</w:t>
      </w:r>
    </w:p>
    <w:p>
      <w:r>
        <w:pict>
          <v:rect style="width:0;height:1.5pt" o:hralign="center" o:hrstd="t" o:hr="t"/>
        </w:pict>
      </w:r>
    </w:p>
    <w:bookmarkEnd w:id="47"/>
    <w:bookmarkEnd w:id="48"/>
    <w:bookmarkStart w:id="52" w:name="step-5-review-report"/>
    <w:p>
      <w:pPr>
        <w:pStyle w:val="Heading2"/>
      </w:pPr>
      <w:r>
        <w:t xml:space="preserve">5. Step 5: Review &amp; Report</w:t>
      </w:r>
    </w:p>
    <w:bookmarkStart w:id="49" w:name="emission-hotspots-identification"/>
    <w:p>
      <w:pPr>
        <w:pStyle w:val="Heading3"/>
      </w:pPr>
      <w:r>
        <w:t xml:space="preserve">5.1 Emission Hotspots Identification</w:t>
      </w:r>
    </w:p>
    <w:p>
      <w:pPr>
        <w:pStyle w:val="FirstParagraph"/>
      </w:pPr>
      <w:r>
        <w:t xml:space="preserve">Based on the calculations, the primary emission hotspots for \'vuzvofxpmw\' are:</w:t>
      </w:r>
    </w:p>
    <w:p>
      <w:pPr>
        <w:numPr>
          <w:ilvl w:val="0"/>
          <w:numId w:val="1015"/>
        </w:numPr>
        <w:pStyle w:val="Compact"/>
      </w:pPr>
      <w:r>
        <w:rPr>
          <w:bCs/>
          <w:b/>
        </w:rPr>
        <w:t xml:space="preserve">Use Phase (12.50 kg CO2e, ~72% of total):</w:t>
      </w:r>
      <w:r>
        <w:t xml:space="preserve"> </w:t>
      </w:r>
      <w:r>
        <w:t xml:space="preserve">This is overwhelmingly the largest contributor due to the product\'s assumed lifespan and annual energy consumption.</w:t>
      </w:r>
    </w:p>
    <w:p>
      <w:pPr>
        <w:numPr>
          <w:ilvl w:val="0"/>
          <w:numId w:val="1015"/>
        </w:numPr>
        <w:pStyle w:val="Compact"/>
      </w:pPr>
      <w:r>
        <w:rPr>
          <w:bCs/>
          <w:b/>
        </w:rPr>
        <w:t xml:space="preserve">Materials Acquisition &amp; Pre-processing (3.31 kg CO2e, ~19% of total):</w:t>
      </w:r>
      <w:r>
        <w:t xml:space="preserve"> </w:t>
      </w:r>
      <w:r>
        <w:t xml:space="preserve">The embodied carbon in raw materials and components, particularly the Lithium-ion Battery and PCB, represents a significant portion.</w:t>
      </w:r>
    </w:p>
    <w:p>
      <w:pPr>
        <w:numPr>
          <w:ilvl w:val="0"/>
          <w:numId w:val="1015"/>
        </w:numPr>
        <w:pStyle w:val="Compact"/>
      </w:pPr>
      <w:r>
        <w:rPr>
          <w:bCs/>
          <w:b/>
        </w:rPr>
        <w:t xml:space="preserve">Manufacturing / Production (2.10 kg CO2e, ~12% of total):</w:t>
      </w:r>
      <w:r>
        <w:t xml:space="preserve"> </w:t>
      </w:r>
      <w:r>
        <w:t xml:space="preserve">The reliance on the Chinese grid mix for electricity generation in manufacturing is a notable contributor, despite 30% renewable energy usage.</w:t>
      </w:r>
    </w:p>
    <w:p>
      <w:pPr>
        <w:pStyle w:val="FirstParagraph"/>
      </w:pPr>
      <w:r>
        <w:t xml:space="preserve">Transportation and End-of-Life stages contribute relatively less to the overall footprint, with the EoL phase showing a net avoided emission due to the high recyclability rate.</w:t>
      </w:r>
    </w:p>
    <w:bookmarkEnd w:id="49"/>
    <w:bookmarkStart w:id="50" w:name="data-reliability-and-assumptions"/>
    <w:p>
      <w:pPr>
        <w:pStyle w:val="Heading3"/>
      </w:pPr>
      <w:r>
        <w:t xml:space="preserve">5.2 Data Reliability and Assumptions</w:t>
      </w:r>
    </w:p>
    <w:p>
      <w:pPr>
        <w:pStyle w:val="FirstParagraph"/>
      </w:pPr>
      <w:r>
        <w:t xml:space="preserve">This report relies on a mix of primary data (provided parameters) and secondary, illustrative emission factors (from general Ecoinvent/DEFRA principles) where specific values were not available for the placeholder parameters. The reliability is high for the *methodology*, but the *absolute values* are dependent on the accuracy of the assumed illustrative data for the placeholder inputs. Specific factors like \'Renewable Energy Usage\' (pikyoskfjz) and \'Recyclability Percentage\' (verudrsdyd) directly impact the results.</w:t>
      </w:r>
    </w:p>
    <w:p>
      <w:pPr>
        <w:pStyle w:val="BodyText"/>
      </w:pPr>
      <w:r>
        <w:t xml:space="preserve">The 95% Scope 3 coverage target is met by systematically accounting for all relevant upstream and downstream activities as per GHG Protocol requirements. The 2026 LSR update is considered, and since \'vuzvofxpmw\' is assumed to be an electronic device with no direct bio-based material land use, its impact in this specific area is considered negligible for direct emissions, though it is acknowledged for completeness.</w:t>
      </w:r>
    </w:p>
    <w:bookmarkEnd w:id="50"/>
    <w:bookmarkStart w:id="51" w:name="recommendations-for-svrnjttdew"/>
    <w:p>
      <w:pPr>
        <w:pStyle w:val="Heading3"/>
      </w:pPr>
      <w:r>
        <w:t xml:space="preserve">5.3 Recommendations for svrnjttdew</w:t>
      </w:r>
    </w:p>
    <w:p>
      <w:pPr>
        <w:numPr>
          <w:ilvl w:val="0"/>
          <w:numId w:val="1016"/>
        </w:numPr>
        <w:pStyle w:val="Compact"/>
      </w:pPr>
      <w:r>
        <w:rPr>
          <w:bCs/>
          <w:b/>
        </w:rPr>
        <w:t xml:space="preserve">Optimize Use Phase Energy Efficiency:</w:t>
      </w:r>
      <w:r>
        <w:t xml:space="preserve"> </w:t>
      </w:r>
      <w:r>
        <w:t xml:space="preserve">Focus on designing \'vuzvofxpmw\' for ultra-low power consumption during operation and standby. Explore smart energy management features.</w:t>
      </w:r>
    </w:p>
    <w:p>
      <w:pPr>
        <w:numPr>
          <w:ilvl w:val="0"/>
          <w:numId w:val="1016"/>
        </w:numPr>
        <w:pStyle w:val="Compact"/>
      </w:pPr>
      <w:r>
        <w:rPr>
          <w:bCs/>
          <w:b/>
        </w:rPr>
        <w:t xml:space="preserve">Enhance Renewable Energy Procurement in Manufacturing:</w:t>
      </w:r>
      <w:r>
        <w:t xml:space="preserve"> </w:t>
      </w:r>
      <w:r>
        <w:t xml:space="preserve">Increase the percentage of renewable energy (pikyoskfjz) used at the China production facility beyond 30% through direct procurement or Renewable Energy Certificates (RECs).</w:t>
      </w:r>
    </w:p>
    <w:p>
      <w:pPr>
        <w:numPr>
          <w:ilvl w:val="0"/>
          <w:numId w:val="1016"/>
        </w:numPr>
        <w:pStyle w:val="Compact"/>
      </w:pPr>
      <w:r>
        <w:rPr>
          <w:bCs/>
          <w:b/>
        </w:rPr>
        <w:t xml:space="preserve">Sustainable Material Sourcing:</w:t>
      </w:r>
      <w:r>
        <w:t xml:space="preserve"> </w:t>
      </w:r>
      <w:r>
        <w:t xml:space="preserve">Investigate opportunities to source lower-carbon intensity materials, especially for components like batteries and PCBs. Explore recycled content for plastics and metals.</w:t>
      </w:r>
    </w:p>
    <w:p>
      <w:pPr>
        <w:numPr>
          <w:ilvl w:val="0"/>
          <w:numId w:val="1016"/>
        </w:numPr>
        <w:pStyle w:val="Compact"/>
      </w:pPr>
      <w:r>
        <w:rPr>
          <w:bCs/>
          <w:b/>
        </w:rPr>
        <w:t xml:space="preserve">Extended Producer Responsibility (EPR):</w:t>
      </w:r>
      <w:r>
        <w:t xml:space="preserve"> </w:t>
      </w:r>
      <w:r>
        <w:t xml:space="preserve">Further strengthen \'Circular/Take-back Programs (fpgqfgjzwz)\' to exceed the 60% recyclability rate and minimize waste to landfill/incineration. Explore product-as-a-service models.</w:t>
      </w:r>
    </w:p>
    <w:p>
      <w:pPr>
        <w:numPr>
          <w:ilvl w:val="0"/>
          <w:numId w:val="1016"/>
        </w:numPr>
        <w:pStyle w:val="Compact"/>
      </w:pPr>
      <w:r>
        <w:rPr>
          <w:bCs/>
          <w:b/>
        </w:rPr>
        <w:t xml:space="preserve">Supply Chain Engagement:</w:t>
      </w:r>
      <w:r>
        <w:t xml:space="preserve"> </w:t>
      </w:r>
      <w:r>
        <w:t xml:space="preserve">Collaborate with key suppliers to obtain primary data for their production processes and work towards reducing their emissions (Scope 3 upstream).</w:t>
      </w:r>
    </w:p>
    <w:p>
      <w:r>
        <w:pict>
          <v:rect style="width:0;height:1.5pt" o:hralign="center" o:hrstd="t" o:hr="t"/>
        </w:pic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vuzvofxpmw - svrnjttdew</dc:title>
  <dc:creator/>
  <dc:description>Detailed Product Carbon Footprint (PCF) analysis report for vuzvofxpmw by svrnjttdew, following GHG Protocol, conducted by rzjimoqvwf. Covers material, production, transport, use, and end-of-life phases.</dc:description>
  <dc:language>en</dc:language>
  <cp:keywords/>
  <dcterms:created xsi:type="dcterms:W3CDTF">2026-05-30T22:13:36Z</dcterms:created>
  <dcterms:modified xsi:type="dcterms:W3CDTF">2026-05-30T22:13:36Z</dcterms:modified>
</cp:coreProperties>
</file>

<file path=docProps/custom.xml><?xml version="1.0" encoding="utf-8"?>
<Properties xmlns="http://schemas.openxmlformats.org/officeDocument/2006/custom-properties" xmlns:vt="http://schemas.openxmlformats.org/officeDocument/2006/docPropsVTypes"/>
</file>