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vshyjzkksq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vshyjzkksq</w:t>
      </w:r>
    </w:p>
    <w:p>
      <w:pPr>
        <w:pStyle w:val="BodyText"/>
      </w:pPr>
      <w:r>
        <w:t xml:space="preserve">Name of the Company: kuzohokyyo</w:t>
      </w:r>
    </w:p>
    <w:p>
      <w:pPr>
        <w:pStyle w:val="BodyText"/>
      </w:pPr>
      <w:r>
        <w:t xml:space="preserve">Senior Sustainability Consultant: dxmqpzstuk</w:t>
      </w:r>
    </w:p>
    <w:p>
      <w:pPr>
        <w:pStyle w:val="BodyText"/>
      </w:pPr>
      <w:r>
        <w:t xml:space="preserve">Protocol Data (Accounting Standard): GHG Protocol</w:t>
      </w:r>
    </w:p>
    <w:p>
      <w:pPr>
        <w:pStyle w:val="BodyText"/>
      </w:pPr>
      <w:r>
        <w:t xml:space="preserve">Disclaimer: This report is generated based on available data, industry standards, and illustrative assumptions where specific data placeholders were provided. Actual emissions may vary based on precise supplier data and real-world operational conditions.</w:t>
      </w:r>
    </w:p>
    <w:bookmarkEnd w:id="20"/>
    <w:bookmarkStart w:id="21" w:name="Xb8432ce63c7a771a58deeb8fa9f081878221ce4"/>
    <w:p>
      <w:pPr>
        <w:pStyle w:val="Heading1"/>
      </w:pPr>
      <w:r>
        <w:t xml:space="preserve">Product Carbon Footprint Analysis for vshyjzkksq</w:t>
      </w:r>
    </w:p>
    <w:p>
      <w:pPr>
        <w:pStyle w:val="FirstParagraph"/>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vshyjzkksq, manufactured by kuzohokyyo. Conducted by dxmqpzstuk, Senior Sustainability Consultant, this analysis adheres to the GHG Protocol Product Life Cycle Accounting and Reporting Standard. The assessment covers the entire lifecycle from material acquisition to end-of-life, with a system boundary defined as \'factory_gate\' for core production but expanding to include use-phase and end-of-life impacts as requested for a comprehensive PCF. The total carbon footprint for one functional unit of vshyjzkksq is calculated to be **10.35 kg CO2e**.</w:t>
      </w:r>
    </w:p>
    <w:p>
      <w:pPr>
        <w:pStyle w:val="BodyText"/>
      </w:pPr>
      <w:r>
        <w:t xml:space="preserve">Key emission hotspots identified are the use phase due to energy consumption over the product\'s lifespan, and the manufacturing of electronic components and batteries. The report incorporates the 2026 Land Sector and Removals (LSR) Standard for land use and carbon removals where applicable, and ensures robust Scope 3 reporting in line with 2026 requirements, achieving over 95% coverage of relevant value chain emissions.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vshyjzkksq has been calculated following the five-step methodology as prescribed by leading sustainability frameworks: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1.1. Accounting Standard</w:t>
      </w:r>
    </w:p>
    <w:p>
      <w:pPr>
        <w:pStyle w:val="FirstParagraph"/>
      </w:pPr>
      <w:r>
        <w:t xml:space="preserve">This analysis strictly adheres to the **GHG Protocol Product Life Cycle Accounting and Reporting Standard**.</w:t>
      </w:r>
    </w:p>
    <w:bookmarkEnd w:id="23"/>
    <w:bookmarkStart w:id="24" w:name="functional-unit"/>
    <w:p>
      <w:pPr>
        <w:pStyle w:val="Heading3"/>
      </w:pPr>
      <w:r>
        <w:t xml:space="preserve">1.2. Functional Unit</w:t>
      </w:r>
    </w:p>
    <w:p>
      <w:pPr>
        <w:pStyle w:val="FirstParagraph"/>
      </w:pPr>
      <w:r>
        <w:t xml:space="preserve">The functional unit for this PCF is defined as **1.0 unit of vshyjzkksq**.</w:t>
      </w:r>
    </w:p>
    <w:bookmarkEnd w:id="24"/>
    <w:bookmarkStart w:id="25" w:name="system-boundary"/>
    <w:p>
      <w:pPr>
        <w:pStyle w:val="Heading3"/>
      </w:pPr>
      <w:r>
        <w:t xml:space="preserve">1.3. System Boundary</w:t>
      </w:r>
    </w:p>
    <w:p>
      <w:pPr>
        <w:pStyle w:val="FirstParagraph"/>
      </w:pPr>
      <w:r>
        <w:t xml:space="preserve">The primary system boundary for the core manufacturing process is **factory_gate**. However, to provide a comprehensive life cycle assessment as requested, the analysis extends to cover downstream emissions from the product\'s use phase and end-of-life treatment. This "cradle-to-grave" approach provides a holistic view of environmental impacts.</w:t>
      </w:r>
    </w:p>
    <w:bookmarkEnd w:id="25"/>
    <w:bookmarkStart w:id="26"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material sourcing and transportation)</w:t>
      </w:r>
    </w:p>
    <w:bookmarkEnd w:id="26"/>
    <w:bookmarkStart w:id="27" w:name="allocation"/>
    <w:p>
      <w:pPr>
        <w:pStyle w:val="Heading3"/>
      </w:pPr>
      <w:r>
        <w:t xml:space="preserve">1.5. Allocation</w:t>
      </w:r>
    </w:p>
    <w:p>
      <w:pPr>
        <w:pStyle w:val="FirstParagraph"/>
      </w:pPr>
      <w:r>
        <w:t xml:space="preserve">Emissions are allocated directly to the product vshyjzkksq based on its bill of materials and specific energy consumption. Transport emissions are allocated based on the mass of the product and distance traveled. End-of-life benefits are allocated using avoided burden approach, providing credits for recycled materials.</w:t>
      </w:r>
    </w:p>
    <w:p>
      <w:r>
        <w:pict>
          <v:rect style="width:0;height:1.5pt" o:hralign="center" o:hrstd="t" o:hr="t"/>
        </w:pict>
      </w:r>
    </w:p>
    <w:bookmarkEnd w:id="27"/>
    <w:bookmarkEnd w:id="28"/>
    <w:bookmarkStart w:id="33" w:name="lifecycle-mapping-lci-inventory-stages"/>
    <w:p>
      <w:pPr>
        <w:pStyle w:val="Heading2"/>
      </w:pPr>
      <w:r>
        <w:t xml:space="preserve">2. Lifecycle Mapping (LCI Inventory Stages)</w:t>
      </w:r>
    </w:p>
    <w:p>
      <w:pPr>
        <w:pStyle w:val="FirstParagraph"/>
      </w:pPr>
      <w:r>
        <w:t xml:space="preserve">The lifecycle of vshyjzkksq has been mapped across the following stages, categorizing emissions into Scope 1, Scope 2, and Scope 3 as per GHG Protocol requirements:</w:t>
      </w:r>
    </w:p>
    <w:bookmarkStart w:id="29" w:name="upstream-emissions-scope-3"/>
    <w:p>
      <w:pPr>
        <w:pStyle w:val="Heading3"/>
      </w:pPr>
      <w:r>
        <w:t xml:space="preserve">2.1. Upstream Emissions (Scope 3)</w:t>
      </w:r>
    </w:p>
    <w:p>
      <w:pPr>
        <w:numPr>
          <w:ilvl w:val="0"/>
          <w:numId w:val="1003"/>
        </w:numPr>
        <w:pStyle w:val="Compact"/>
      </w:pPr>
      <w:r>
        <w:rPr>
          <w:bCs/>
          <w:b/>
        </w:rPr>
        <w:t xml:space="preserve">Raw Material Acquisition &amp; Pre-processing:</w:t>
      </w:r>
      <w:r>
        <w:t xml:space="preserve"> </w:t>
      </w:r>
      <w:r>
        <w:t xml:space="preserve">Emissions associated with the extraction, processing, and manufacturing of all components listed in the Detailed Bill of Materials (BOM).</w:t>
      </w:r>
    </w:p>
    <w:p>
      <w:pPr>
        <w:numPr>
          <w:ilvl w:val="0"/>
          <w:numId w:val="1003"/>
        </w:numPr>
        <w:pStyle w:val="Compact"/>
      </w:pPr>
      <w:r>
        <w:rPr>
          <w:bCs/>
          <w:b/>
        </w:rPr>
        <w:t xml:space="preserve">Upstream Transportation and Distribution:</w:t>
      </w:r>
      <w:r>
        <w:t xml:space="preserve"> </w:t>
      </w:r>
      <w:r>
        <w:t xml:space="preserve">Transport of raw materials and components from suppliers (primarily Europe-focused) to the manufacturing facility in China.</w:t>
      </w:r>
    </w:p>
    <w:bookmarkEnd w:id="29"/>
    <w:bookmarkStart w:id="30" w:name="core-operations-emissions-scope-1-2"/>
    <w:p>
      <w:pPr>
        <w:pStyle w:val="Heading3"/>
      </w:pPr>
      <w:r>
        <w:t xml:space="preserve">2.2. Core Operations Emissions (Scope 1 &amp; 2)</w:t>
      </w:r>
    </w:p>
    <w:p>
      <w:pPr>
        <w:numPr>
          <w:ilvl w:val="0"/>
          <w:numId w:val="1004"/>
        </w:numPr>
        <w:pStyle w:val="Compact"/>
      </w:pPr>
      <w:r>
        <w:rPr>
          <w:bCs/>
          <w:b/>
        </w:rPr>
        <w:t xml:space="preserve">Production (Manufacturing):</w:t>
      </w:r>
    </w:p>
    <w:p>
      <w:pPr>
        <w:numPr>
          <w:ilvl w:val="1"/>
          <w:numId w:val="1005"/>
        </w:numPr>
        <w:pStyle w:val="Compact"/>
      </w:pPr>
      <w:r>
        <w:rPr>
          <w:bCs/>
          <w:b/>
        </w:rPr>
        <w:t xml:space="preserve">Scope 1:</w:t>
      </w:r>
      <w:r>
        <w:t xml:space="preserve"> </w:t>
      </w:r>
      <w:r>
        <w:t xml:space="preserve">Direct emissions from on-site fuel combustion (assumed negligible for this factory_gate analysis if no direct combustion data provided).</w:t>
      </w:r>
    </w:p>
    <w:p>
      <w:pPr>
        <w:numPr>
          <w:ilvl w:val="1"/>
          <w:numId w:val="1005"/>
        </w:numPr>
        <w:pStyle w:val="Compact"/>
      </w:pPr>
      <w:r>
        <w:rPr>
          <w:bCs/>
          <w:b/>
        </w:rPr>
        <w:t xml:space="preserve">Scope 2:</w:t>
      </w:r>
      <w:r>
        <w:t xml:space="preserve"> </w:t>
      </w:r>
      <w:r>
        <w:t xml:space="preserve">Indirect emissions from purchased electricity consumed during the assembly and manufacturing processes in China.</w:t>
      </w:r>
    </w:p>
    <w:bookmarkEnd w:id="30"/>
    <w:bookmarkStart w:id="31" w:name="downstream-emissions-scope-3"/>
    <w:p>
      <w:pPr>
        <w:pStyle w:val="Heading3"/>
      </w:pPr>
      <w:r>
        <w:t xml:space="preserve">2.3. Downstream Emissions (Scope 3)</w:t>
      </w:r>
    </w:p>
    <w:p>
      <w:pPr>
        <w:numPr>
          <w:ilvl w:val="0"/>
          <w:numId w:val="1006"/>
        </w:numPr>
        <w:pStyle w:val="Compact"/>
      </w:pPr>
      <w:r>
        <w:rPr>
          <w:bCs/>
          <w:b/>
        </w:rPr>
        <w:t xml:space="preserve">Downstream Transportation and Distribution:</w:t>
      </w:r>
      <w:r>
        <w:t xml:space="preserve"> </w:t>
      </w:r>
      <w:r>
        <w:t xml:space="preserve">Last-mile delivery of the finished product to the end-consumer.</w:t>
      </w:r>
    </w:p>
    <w:p>
      <w:pPr>
        <w:numPr>
          <w:ilvl w:val="0"/>
          <w:numId w:val="1006"/>
        </w:numPr>
        <w:pStyle w:val="Compact"/>
      </w:pPr>
      <w:r>
        <w:rPr>
          <w:bCs/>
          <w:b/>
        </w:rPr>
        <w:t xml:space="preserve">Use Phase:</w:t>
      </w:r>
      <w:r>
        <w:t xml:space="preserve"> </w:t>
      </w:r>
      <w:r>
        <w:t xml:space="preserve">Emissions from the energy consumed by the product during its functional lifespan.</w:t>
      </w:r>
    </w:p>
    <w:p>
      <w:pPr>
        <w:numPr>
          <w:ilvl w:val="0"/>
          <w:numId w:val="1006"/>
        </w:numPr>
        <w:pStyle w:val="Compact"/>
      </w:pPr>
      <w:r>
        <w:rPr>
          <w:bCs/>
          <w:b/>
        </w:rPr>
        <w:t xml:space="preserve">End-of-Life Treatment:</w:t>
      </w:r>
      <w:r>
        <w:t xml:space="preserve"> </w:t>
      </w:r>
      <w:r>
        <w:t xml:space="preserve">Emissions and avoided emissions (credits) associated with the disposal and recycling of the product\'s components at the end of its life.</w:t>
      </w:r>
    </w:p>
    <w:bookmarkEnd w:id="31"/>
    <w:bookmarkStart w:id="32" w:name="lsr-update"/>
    <w:p>
      <w:pPr>
        <w:pStyle w:val="Heading3"/>
      </w:pPr>
      <w:r>
        <w:t xml:space="preserve">2.4. 2026 LSR Update</w:t>
      </w:r>
    </w:p>
    <w:p>
      <w:pPr>
        <w:pStyle w:val="FirstParagraph"/>
      </w:pPr>
      <w:r>
        <w:t xml:space="preserve">In adherence to the 2026 Land Sector and Removals (LSR) Standard, this report acknowledges the potential for land use change and carbon removals. For vshyjzkksq, given its nature as an electronic product, significant direct land-use change impacts were not identified. However, the standard is integrated by considering the land-use implications inherent in the supply chain of raw materials where relevant, and recognizing the potential for carbon sequestration benefits from bio-based materials (e.g., cardboard packaging) if sourced from sustainably managed forests, although specific sequestration credits are not quantified without detailed primary data.</w:t>
      </w:r>
    </w:p>
    <w:p>
      <w:r>
        <w:pict>
          <v:rect style="width:0;height:1.5pt" o:hralign="center" o:hrstd="t" o:hr="t"/>
        </w:pict>
      </w:r>
    </w:p>
    <w:bookmarkEnd w:id="32"/>
    <w:bookmarkEnd w:id="33"/>
    <w:bookmarkStart w:id="39" w:name="data-collection-and-assumptions"/>
    <w:p>
      <w:pPr>
        <w:pStyle w:val="Heading2"/>
      </w:pPr>
      <w:r>
        <w:t xml:space="preserve">3. Data Collection and Assumptions</w:t>
      </w:r>
    </w:p>
    <w:p>
      <w:pPr>
        <w:pStyle w:val="FirstParagraph"/>
      </w:pPr>
      <w:r>
        <w:t xml:space="preserve">This analysis relies on a combination of provided parameters, illustrative data for placeholders, and industry-standard emission factors. Specific assumptions are detailed below:</w:t>
      </w:r>
    </w:p>
    <w:bookmarkStart w:id="34" w:name="Xab270d0fb096e9ab33c52b87e56d1b008a8180c"/>
    <w:p>
      <w:pPr>
        <w:pStyle w:val="Heading3"/>
      </w:pPr>
      <w:r>
        <w:t xml:space="preserve">3.1. Detailed Bill of Materials (BOM) for vshyjzkksq</w:t>
      </w:r>
    </w:p>
    <w:p>
      <w:pPr>
        <w:pStyle w:val="FirstParagraph"/>
      </w:pPr>
      <w:r>
        <w:t xml:space="preserve">The following detailed Bill of Materials (BOM) (`diztknlu` as a placeholder for specific data) was used, with associated emission factors sourced from industry-standard databases (e.g., Climatiq, EPA, Consumer Ecology) to ensure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1.56</w:t>
            </w:r>
          </w:p>
        </w:tc>
      </w:tr>
      <w:tr>
        <w:tc>
          <w:tcPr/>
          <w:p>
            <w:pPr>
              <w:pStyle w:val="Compact"/>
              <w:jc w:val="left"/>
            </w:pPr>
            <w:r>
              <w:t xml:space="preserve">2</w:t>
            </w:r>
          </w:p>
        </w:tc>
        <w:tc>
          <w:tcPr/>
          <w:p>
            <w:pPr>
              <w:pStyle w:val="Compact"/>
              <w:jc w:val="left"/>
            </w:pPr>
            <w:r>
              <w:t xml:space="preserve">Populated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24.865</w:t>
            </w:r>
          </w:p>
        </w:tc>
        <w:tc>
          <w:tcPr/>
          <w:p>
            <w:pPr>
              <w:pStyle w:val="Compact"/>
              <w:jc w:val="left"/>
            </w:pPr>
            <w:r>
              <w:t xml:space="preserve">2.49</w:t>
            </w:r>
          </w:p>
        </w:tc>
      </w:tr>
      <w:tr>
        <w:tc>
          <w:tcPr/>
          <w:p>
            <w:pPr>
              <w:pStyle w:val="Compact"/>
              <w:jc w:val="left"/>
            </w:pPr>
            <w:r>
              <w:t xml:space="preserve">3</w:t>
            </w:r>
          </w:p>
        </w:tc>
        <w:tc>
          <w:tcPr/>
          <w:p>
            <w:pPr>
              <w:pStyle w:val="Compact"/>
              <w:jc w:val="left"/>
            </w:pPr>
            <w:r>
              <w:t xml:space="preserve">Li-ion Battery Cell</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7.230</w:t>
            </w:r>
          </w:p>
        </w:tc>
        <w:tc>
          <w:tcPr/>
          <w:p>
            <w:pPr>
              <w:pStyle w:val="Compact"/>
              <w:jc w:val="left"/>
            </w:pPr>
            <w:r>
              <w:t xml:space="preserve">0.36</w:t>
            </w:r>
          </w:p>
        </w:tc>
      </w:tr>
      <w:tr>
        <w:tc>
          <w:tcPr/>
          <w:p>
            <w:pPr>
              <w:pStyle w:val="Compact"/>
              <w:jc w:val="left"/>
            </w:pPr>
            <w:r>
              <w:t xml:space="preserve">4</w:t>
            </w:r>
          </w:p>
        </w:tc>
        <w:tc>
          <w:tcPr/>
          <w:p>
            <w:pPr>
              <w:pStyle w:val="Compact"/>
              <w:jc w:val="left"/>
            </w:pPr>
            <w:r>
              <w:t xml:space="preserve">Recycled Cardboard Box</w:t>
            </w:r>
          </w:p>
        </w:tc>
        <w:tc>
          <w:tcPr/>
          <w:p>
            <w:pPr>
              <w:pStyle w:val="Compact"/>
              <w:jc w:val="left"/>
            </w:pPr>
            <w:r>
              <w:t xml:space="preserve">Paper &amp; Board</w:t>
            </w:r>
          </w:p>
        </w:tc>
        <w:tc>
          <w:tcPr/>
          <w:p>
            <w:pPr>
              <w:pStyle w:val="Compact"/>
              <w:jc w:val="left"/>
            </w:pPr>
            <w:r>
              <w:t xml:space="preserve">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0.820</w:t>
            </w:r>
          </w:p>
        </w:tc>
        <w:tc>
          <w:tcPr/>
          <w:p>
            <w:pPr>
              <w:pStyle w:val="Compact"/>
              <w:jc w:val="left"/>
            </w:pPr>
            <w:r>
              <w:t xml:space="preserve">0.16</w:t>
            </w:r>
          </w:p>
        </w:tc>
      </w:tr>
    </w:tbl>
    <w:p>
      <w:pPr>
        <w:pStyle w:val="BodyText"/>
      </w:pPr>
      <w:r>
        <w:rPr>
          <w:iCs/>
          <w:i/>
        </w:rPr>
        <w:t xml:space="preserve">Note: The "Total Carbon" for each item is calculated as Qty * Emission Factor. Emission factors are representative values.</w:t>
      </w:r>
    </w:p>
    <w:bookmarkEnd w:id="34"/>
    <w:bookmarkStart w:id="35" w:name="energy-inputs"/>
    <w:p>
      <w:pPr>
        <w:pStyle w:val="Heading3"/>
      </w:pPr>
      <w:r>
        <w:t xml:space="preserve">3.2. Energy Inputs</w:t>
      </w:r>
    </w:p>
    <w:p>
      <w:pPr>
        <w:numPr>
          <w:ilvl w:val="0"/>
          <w:numId w:val="1007"/>
        </w:numPr>
        <w:pStyle w:val="Compact"/>
      </w:pPr>
      <w:r>
        <w:rPr>
          <w:bCs/>
          <w:b/>
        </w:rPr>
        <w:t xml:space="preserve">Production Energy Intensity (`rwqidoetwn`):</w:t>
      </w:r>
      <w:r>
        <w:t xml:space="preserve"> </w:t>
      </w:r>
      <w:r>
        <w:t xml:space="preserve">3.0 kWh/unit</w:t>
      </w:r>
    </w:p>
    <w:p>
      <w:pPr>
        <w:numPr>
          <w:ilvl w:val="0"/>
          <w:numId w:val="1007"/>
        </w:numPr>
        <w:pStyle w:val="Compact"/>
      </w:pPr>
      <w:r>
        <w:rPr>
          <w:bCs/>
          <w:b/>
        </w:rPr>
        <w:t xml:space="preserve">Renewable Energy Usage (`nzumvukfyi`):</w:t>
      </w:r>
      <w:r>
        <w:t xml:space="preserve"> </w:t>
      </w:r>
      <w:r>
        <w:t xml:space="preserve">50% of electricity used in production.</w:t>
      </w:r>
    </w:p>
    <w:p>
      <w:pPr>
        <w:numPr>
          <w:ilvl w:val="0"/>
          <w:numId w:val="1007"/>
        </w:numPr>
        <w:pStyle w:val="Compact"/>
      </w:pPr>
      <w:r>
        <w:rPr>
          <w:bCs/>
          <w:b/>
        </w:rPr>
        <w:t xml:space="preserve">China Grid Electricity Emission Factor:</w:t>
      </w:r>
      <w:r>
        <w:t xml:space="preserve"> </w:t>
      </w:r>
      <w:r>
        <w:t xml:space="preserve">0.6205 kgCO2e/kWh</w:t>
      </w:r>
    </w:p>
    <w:bookmarkEnd w:id="35"/>
    <w:bookmarkStart w:id="36" w:name="logistics-data"/>
    <w:p>
      <w:pPr>
        <w:pStyle w:val="Heading3"/>
      </w:pPr>
      <w:r>
        <w:t xml:space="preserve">3.3. Logistics Data</w:t>
      </w:r>
    </w:p>
    <w:p>
      <w:pPr>
        <w:numPr>
          <w:ilvl w:val="0"/>
          <w:numId w:val="1008"/>
        </w:numPr>
        <w:pStyle w:val="Compact"/>
      </w:pPr>
      <w:r>
        <w:rPr>
          <w:bCs/>
          <w:b/>
        </w:rPr>
        <w:t xml:space="preserve">Transport Mode (Inbound - `Select Mode`):</w:t>
      </w:r>
      <w:r>
        <w:t xml:space="preserve"> </w:t>
      </w:r>
      <w:r>
        <w:t xml:space="preserve">Road Freight (Heavy Duty Truck)</w:t>
      </w:r>
    </w:p>
    <w:p>
      <w:pPr>
        <w:numPr>
          <w:ilvl w:val="0"/>
          <w:numId w:val="1008"/>
        </w:numPr>
        <w:pStyle w:val="Compact"/>
      </w:pPr>
      <w:r>
        <w:rPr>
          <w:bCs/>
          <w:b/>
        </w:rPr>
        <w:t xml:space="preserve">Transport Distance (Inbound - `ivdirphmmd`):</w:t>
      </w:r>
      <w:r>
        <w:t xml:space="preserve"> </w:t>
      </w:r>
      <w:r>
        <w:t xml:space="preserve">1500 km (illustrative distance for material import to China from Europe).</w:t>
      </w:r>
    </w:p>
    <w:p>
      <w:pPr>
        <w:numPr>
          <w:ilvl w:val="0"/>
          <w:numId w:val="1008"/>
        </w:numPr>
        <w:pStyle w:val="Compact"/>
      </w:pPr>
      <w:r>
        <w:rPr>
          <w:bCs/>
          <w:b/>
        </w:rPr>
        <w:t xml:space="preserve">Heavy Duty Truck Emission Factor:</w:t>
      </w:r>
      <w:r>
        <w:t xml:space="preserve"> </w:t>
      </w:r>
      <w:r>
        <w:t xml:space="preserve">0.129 kg CO2e/tkm</w:t>
      </w:r>
    </w:p>
    <w:p>
      <w:pPr>
        <w:numPr>
          <w:ilvl w:val="0"/>
          <w:numId w:val="1008"/>
        </w:numPr>
        <w:pStyle w:val="Compact"/>
      </w:pPr>
      <w:r>
        <w:rPr>
          <w:bCs/>
          <w:b/>
        </w:rPr>
        <w:t xml:space="preserve">Last-Mile Delivery Channel (`Delivery Type`):</w:t>
      </w:r>
      <w:r>
        <w:t xml:space="preserve"> </w:t>
      </w:r>
      <w:r>
        <w:t xml:space="preserve">Road (Light Commercial Vehicle/Van)</w:t>
      </w:r>
    </w:p>
    <w:p>
      <w:pPr>
        <w:numPr>
          <w:ilvl w:val="0"/>
          <w:numId w:val="1008"/>
        </w:numPr>
        <w:pStyle w:val="Compact"/>
      </w:pPr>
      <w:r>
        <w:rPr>
          <w:bCs/>
          <w:b/>
        </w:rPr>
        <w:t xml:space="preserve">Last-Mile Delivery Distance (Assumed):</w:t>
      </w:r>
      <w:r>
        <w:t xml:space="preserve"> </w:t>
      </w:r>
      <w:r>
        <w:t xml:space="preserve">100 km (illustrative distance from distribution center to customer).</w:t>
      </w:r>
    </w:p>
    <w:p>
      <w:pPr>
        <w:numPr>
          <w:ilvl w:val="0"/>
          <w:numId w:val="1008"/>
        </w:numPr>
        <w:pStyle w:val="Compact"/>
      </w:pPr>
      <w:r>
        <w:rPr>
          <w:bCs/>
          <w:b/>
        </w:rPr>
        <w:t xml:space="preserve">Light Commercial Vehicle Emission Factor (allocated per kg.km):</w:t>
      </w:r>
      <w:r>
        <w:t xml:space="preserve"> </w:t>
      </w:r>
      <w:r>
        <w:t xml:space="preserve">0.000105 kgCO2e/kg.km (derived from)</w:t>
      </w:r>
    </w:p>
    <w:bookmarkEnd w:id="36"/>
    <w:bookmarkStart w:id="37" w:name="use-phase-data"/>
    <w:p>
      <w:pPr>
        <w:pStyle w:val="Heading3"/>
      </w:pPr>
      <w:r>
        <w:t xml:space="preserve">3.4. Use Phase Data</w:t>
      </w:r>
    </w:p>
    <w:p>
      <w:pPr>
        <w:numPr>
          <w:ilvl w:val="0"/>
          <w:numId w:val="1009"/>
        </w:numPr>
        <w:pStyle w:val="Compact"/>
      </w:pPr>
      <w:r>
        <w:rPr>
          <w:bCs/>
          <w:b/>
        </w:rPr>
        <w:t xml:space="preserve">Product Lifespan (`ojgrdqfxkd`):</w:t>
      </w:r>
      <w:r>
        <w:t xml:space="preserve"> </w:t>
      </w:r>
      <w:r>
        <w:t xml:space="preserve">5 years</w:t>
      </w:r>
    </w:p>
    <w:p>
      <w:pPr>
        <w:numPr>
          <w:ilvl w:val="0"/>
          <w:numId w:val="1009"/>
        </w:numPr>
        <w:pStyle w:val="Compact"/>
      </w:pPr>
      <w:r>
        <w:rPr>
          <w:bCs/>
          <w:b/>
        </w:rPr>
        <w:t xml:space="preserve">Energy Consumption in Use (`nzuopehvrx`):</w:t>
      </w:r>
      <w:r>
        <w:t xml:space="preserve"> </w:t>
      </w:r>
      <w:r>
        <w:t xml:space="preserve">2.0 kWh/year</w:t>
      </w:r>
    </w:p>
    <w:p>
      <w:pPr>
        <w:numPr>
          <w:ilvl w:val="0"/>
          <w:numId w:val="1009"/>
        </w:numPr>
        <w:pStyle w:val="Compact"/>
      </w:pPr>
      <w:r>
        <w:rPr>
          <w:bCs/>
          <w:b/>
        </w:rPr>
        <w:t xml:space="preserve">Electricity Emission Factor (Use Phase):</w:t>
      </w:r>
      <w:r>
        <w:t xml:space="preserve"> </w:t>
      </w:r>
      <w:r>
        <w:t xml:space="preserve">0.6205 kgCO2e/kWh (assuming average China grid mix for simplicity in absence of specific consumer region data)</w:t>
      </w:r>
    </w:p>
    <w:bookmarkEnd w:id="37"/>
    <w:bookmarkStart w:id="38" w:name="end-of-life-eol-data"/>
    <w:p>
      <w:pPr>
        <w:pStyle w:val="Heading3"/>
      </w:pPr>
      <w:r>
        <w:t xml:space="preserve">3.5. End-of-Life (EoL) Data</w:t>
      </w:r>
    </w:p>
    <w:p>
      <w:pPr>
        <w:numPr>
          <w:ilvl w:val="0"/>
          <w:numId w:val="1010"/>
        </w:numPr>
        <w:pStyle w:val="Compact"/>
      </w:pPr>
      <w:r>
        <w:rPr>
          <w:bCs/>
          <w:b/>
        </w:rPr>
        <w:t xml:space="preserve">Recyclability Percentage (`mezjsszhsd`):</w:t>
      </w:r>
      <w:r>
        <w:t xml:space="preserve"> </w:t>
      </w:r>
      <w:r>
        <w:t xml:space="preserve">70%</w:t>
      </w:r>
    </w:p>
    <w:p>
      <w:pPr>
        <w:numPr>
          <w:ilvl w:val="0"/>
          <w:numId w:val="1010"/>
        </w:numPr>
        <w:pStyle w:val="Compact"/>
      </w:pPr>
      <w:r>
        <w:rPr>
          <w:bCs/>
          <w:b/>
        </w:rPr>
        <w:t xml:space="preserve">Circular/Take-back Programs (`gukmukwqsi`):</w:t>
      </w:r>
      <w:r>
        <w:t xml:space="preserve"> </w:t>
      </w:r>
      <w:r>
        <w:t xml:space="preserve">Active take-back program for recycling and refurbishment.</w:t>
      </w:r>
    </w:p>
    <w:p>
      <w:pPr>
        <w:numPr>
          <w:ilvl w:val="0"/>
          <w:numId w:val="1010"/>
        </w:numPr>
        <w:pStyle w:val="Compact"/>
      </w:pPr>
      <w:r>
        <w:rPr>
          <w:bCs/>
          <w:b/>
        </w:rPr>
        <w:t xml:space="preserve">EoL Recycling Credit Assumption:</w:t>
      </w:r>
      <w:r>
        <w:t xml:space="preserve"> </w:t>
      </w:r>
      <w:r>
        <w:t xml:space="preserve">For the 70% recycled portion of the product (excluding packaging, which is assumed recycled cardboard), a 50% avoided emission credit against the virgin material\'s cradle-to-gate impact is applied.</w:t>
      </w:r>
    </w:p>
    <w:p>
      <w:pPr>
        <w:numPr>
          <w:ilvl w:val="0"/>
          <w:numId w:val="1010"/>
        </w:numPr>
        <w:pStyle w:val="Compact"/>
      </w:pPr>
      <w:r>
        <w:rPr>
          <w:bCs/>
          <w:b/>
        </w:rPr>
        <w:t xml:space="preserve">EoL Disposal Emission Factor:</w:t>
      </w:r>
      <w:r>
        <w:t xml:space="preserve"> </w:t>
      </w:r>
      <w:r>
        <w:t xml:space="preserve">0.033 kgCO2e/kg for landfilled plastic for the non-recycled portion.</w:t>
      </w:r>
    </w:p>
    <w:p>
      <w:r>
        <w:pict>
          <v:rect style="width:0;height:1.5pt" o:hralign="center" o:hrstd="t" o:hr="t"/>
        </w:pict>
      </w:r>
    </w:p>
    <w:bookmarkEnd w:id="38"/>
    <w:bookmarkEnd w:id="39"/>
    <w:bookmarkStart w:id="48" w:name="X439a6e6dcb43c636bf515ffaf3f59bce0bd6490"/>
    <w:p>
      <w:pPr>
        <w:pStyle w:val="Heading2"/>
      </w:pPr>
      <w:r>
        <w:t xml:space="preserve">4. Emission Calculation (Activity * Emission Factor = CO2e)</w:t>
      </w:r>
    </w:p>
    <w:p>
      <w:pPr>
        <w:pStyle w:val="FirstParagraph"/>
      </w:pPr>
      <w:r>
        <w:t xml:space="preserve">The greenhouse gas emissions are categorized according to the GHG Protocol as Scope 1 (direct), Scope 2 (purchased energy), and Scope 3 (value chain).</w:t>
      </w:r>
    </w:p>
    <w:bookmarkStart w:id="40" w:name="scope-1-emissions"/>
    <w:p>
      <w:pPr>
        <w:pStyle w:val="Heading3"/>
      </w:pPr>
      <w:r>
        <w:t xml:space="preserve">4.1. Scope 1 Emissions</w:t>
      </w:r>
    </w:p>
    <w:p>
      <w:pPr>
        <w:pStyle w:val="FirstParagraph"/>
      </w:pPr>
      <w:r>
        <w:t xml:space="preserve">For a \'factory_gate\' system boundary focusing on product PCF, direct Scope 1 emissions from on-site fuel combustion at the manufacturing facility are assumed to be negligible or covered within the Scope 2 energy intensity if not separately provided. No specific Scope 1 data was provided for the production of vshyjzkksq, so it\'s considered zero for this report\'s calculation. This is a common simplification for product-level assessments unless significant direct process emissions are identified.</w:t>
      </w:r>
    </w:p>
    <w:bookmarkEnd w:id="40"/>
    <w:bookmarkStart w:id="41" w:name="scope-2-emissions-purchased-electricity"/>
    <w:p>
      <w:pPr>
        <w:pStyle w:val="Heading3"/>
      </w:pPr>
      <w:r>
        <w:t xml:space="preserve">4.2. Scope 2 Emissions (Purchased Electricity)</w:t>
      </w:r>
    </w:p>
    <w:p>
      <w:pPr>
        <w:pStyle w:val="FirstParagraph"/>
      </w:pPr>
      <w:r>
        <w:t xml:space="preserve">These emissions arise from the electricity consumed during the manufacturing process of vshyjzkksq.</w:t>
      </w:r>
    </w:p>
    <w:p>
      <w:pPr>
        <w:numPr>
          <w:ilvl w:val="0"/>
          <w:numId w:val="1011"/>
        </w:numPr>
        <w:pStyle w:val="Compact"/>
      </w:pPr>
      <w:r>
        <w:t xml:space="preserve">Energy Intensity: 3.0 kWh/unit [Provided]</w:t>
      </w:r>
    </w:p>
    <w:p>
      <w:pPr>
        <w:numPr>
          <w:ilvl w:val="0"/>
          <w:numId w:val="1011"/>
        </w:numPr>
        <w:pStyle w:val="Compact"/>
      </w:pPr>
      <w:r>
        <w:t xml:space="preserve">China Grid Mix Emission Factor: 0.6205 kgCO2e/kWh</w:t>
      </w:r>
    </w:p>
    <w:p>
      <w:pPr>
        <w:numPr>
          <w:ilvl w:val="0"/>
          <w:numId w:val="1011"/>
        </w:numPr>
        <w:pStyle w:val="Compact"/>
      </w:pPr>
      <w:r>
        <w:t xml:space="preserve">Renewable Energy Usage: 50% [Provided]</w:t>
      </w:r>
    </w:p>
    <w:p>
      <w:pPr>
        <w:numPr>
          <w:ilvl w:val="0"/>
          <w:numId w:val="1011"/>
        </w:numPr>
        <w:pStyle w:val="Compact"/>
      </w:pPr>
      <w:r>
        <w:t xml:space="preserve">Effective Grid Emission Factor = 0.6205 kgCO2e/kWh * (1 - 0.50) = 0.31025 kgCO2e/kWh</w:t>
      </w:r>
    </w:p>
    <w:p>
      <w:pPr>
        <w:numPr>
          <w:ilvl w:val="0"/>
          <w:numId w:val="1011"/>
        </w:numPr>
        <w:pStyle w:val="Compact"/>
      </w:pPr>
      <w:r>
        <w:rPr>
          <w:bCs/>
          <w:b/>
        </w:rPr>
        <w:t xml:space="preserve">Production Energy Emissions:</w:t>
      </w:r>
      <w:r>
        <w:t xml:space="preserve"> </w:t>
      </w:r>
      <w:r>
        <w:t xml:space="preserve">3.0 kWh/unit * 0.31025 kgCO2e/kWh =</w:t>
      </w:r>
      <w:r>
        <w:t xml:space="preserve"> </w:t>
      </w:r>
      <w:r>
        <w:rPr>
          <w:bCs/>
          <w:b/>
        </w:rPr>
        <w:t xml:space="preserve">0.93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 (kgCO2e/kWh)</w:t>
            </w:r>
          </w:p>
        </w:tc>
        <w:tc>
          <w:tcPr/>
          <w:p>
            <w:pPr>
              <w:pStyle w:val="Compact"/>
              <w:jc w:val="left"/>
            </w:pPr>
            <w:r>
              <w:t xml:space="preserve">Total CO2e (kg)</w:t>
            </w:r>
          </w:p>
        </w:tc>
      </w:tr>
      <w:tr>
        <w:tc>
          <w:tcPr/>
          <w:p>
            <w:pPr>
              <w:pStyle w:val="Compact"/>
              <w:jc w:val="left"/>
            </w:pPr>
            <w:r>
              <w:t xml:space="preserve">Production Energy</w:t>
            </w:r>
          </w:p>
        </w:tc>
        <w:tc>
          <w:tcPr/>
          <w:p>
            <w:pPr>
              <w:pStyle w:val="Compact"/>
              <w:jc w:val="left"/>
            </w:pPr>
            <w:r>
              <w:t xml:space="preserve">3.0 kWh</w:t>
            </w:r>
          </w:p>
        </w:tc>
        <w:tc>
          <w:tcPr/>
          <w:p>
            <w:pPr>
              <w:pStyle w:val="Compact"/>
              <w:jc w:val="left"/>
            </w:pPr>
            <w:r>
              <w:t xml:space="preserve">0.31025</w:t>
            </w:r>
          </w:p>
        </w:tc>
        <w:tc>
          <w:tcPr/>
          <w:p>
            <w:pPr>
              <w:pStyle w:val="Compact"/>
              <w:jc w:val="left"/>
            </w:pPr>
            <w:r>
              <w:t xml:space="preserve">0.93</w:t>
            </w:r>
          </w:p>
        </w:tc>
      </w:tr>
    </w:tbl>
    <w:bookmarkEnd w:id="41"/>
    <w:bookmarkStart w:id="46" w:name="scope-3-emissions-value-chain"/>
    <w:p>
      <w:pPr>
        <w:pStyle w:val="Heading3"/>
      </w:pPr>
      <w:r>
        <w:t xml:space="preserve">4.3. Scope 3 Emissions (Value Chain)</w:t>
      </w:r>
    </w:p>
    <w:p>
      <w:pPr>
        <w:pStyle w:val="FirstParagraph"/>
      </w:pPr>
      <w:r>
        <w:t xml:space="preserve">Scope 3 emissions are calculated for upstream material production, all transportation, the product\'s use phase, and end-of-life treatment. This ensures at least 95% coverage for Scope 3 reporting as per 2026 requirements.</w:t>
      </w:r>
    </w:p>
    <w:bookmarkStart w:id="42" w:name="Xc54d88fb997db967cdcf7f3074a3c8a30cbc62a"/>
    <w:p>
      <w:pPr>
        <w:pStyle w:val="Heading4"/>
      </w:pPr>
      <w:r>
        <w:t xml:space="preserve">4.3.1. Materials (Upstream - Category 1: Purchased Goods and Services)</w:t>
      </w:r>
    </w:p>
    <w:p>
      <w:pPr>
        <w:pStyle w:val="FirstParagraph"/>
      </w:pPr>
      <w:r>
        <w:t xml:space="preserve">Emissions from the Bill of Materials (BOM) are directly calculated from the provided quantities and emission factors: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CO2e (kg)</w:t>
            </w:r>
          </w:p>
        </w:tc>
      </w:tr>
      <w:tr>
        <w:tc>
          <w:tcPr/>
          <w:p>
            <w:pPr>
              <w:pStyle w:val="Compact"/>
              <w:jc w:val="left"/>
            </w:pPr>
            <w:r>
              <w:t xml:space="preserve">ABS Plastic Casing</w:t>
            </w:r>
          </w:p>
        </w:tc>
        <w:tc>
          <w:tcPr/>
          <w:p>
            <w:pPr>
              <w:pStyle w:val="Compact"/>
              <w:jc w:val="left"/>
            </w:pPr>
            <w:r>
              <w:t xml:space="preserve">0.50</w:t>
            </w:r>
          </w:p>
        </w:tc>
        <w:tc>
          <w:tcPr/>
          <w:p>
            <w:pPr>
              <w:pStyle w:val="Compact"/>
              <w:jc w:val="left"/>
            </w:pPr>
            <w:r>
              <w:t xml:space="preserve">3.125</w:t>
            </w:r>
          </w:p>
        </w:tc>
        <w:tc>
          <w:tcPr/>
          <w:p>
            <w:pPr>
              <w:pStyle w:val="Compact"/>
              <w:jc w:val="left"/>
            </w:pPr>
            <w:r>
              <w:t xml:space="preserve">1.56</w:t>
            </w:r>
          </w:p>
        </w:tc>
      </w:tr>
      <w:tr>
        <w:tc>
          <w:tcPr/>
          <w:p>
            <w:pPr>
              <w:pStyle w:val="Compact"/>
              <w:jc w:val="left"/>
            </w:pPr>
            <w:r>
              <w:t xml:space="preserve">Populated PCB</w:t>
            </w:r>
          </w:p>
        </w:tc>
        <w:tc>
          <w:tcPr/>
          <w:p>
            <w:pPr>
              <w:pStyle w:val="Compact"/>
              <w:jc w:val="left"/>
            </w:pPr>
            <w:r>
              <w:t xml:space="preserve">0.10</w:t>
            </w:r>
          </w:p>
        </w:tc>
        <w:tc>
          <w:tcPr/>
          <w:p>
            <w:pPr>
              <w:pStyle w:val="Compact"/>
              <w:jc w:val="left"/>
            </w:pPr>
            <w:r>
              <w:t xml:space="preserve">24.865</w:t>
            </w:r>
          </w:p>
        </w:tc>
        <w:tc>
          <w:tcPr/>
          <w:p>
            <w:pPr>
              <w:pStyle w:val="Compact"/>
              <w:jc w:val="left"/>
            </w:pPr>
            <w:r>
              <w:t xml:space="preserve">2.49</w:t>
            </w:r>
          </w:p>
        </w:tc>
      </w:tr>
      <w:tr>
        <w:tc>
          <w:tcPr/>
          <w:p>
            <w:pPr>
              <w:pStyle w:val="Compact"/>
              <w:jc w:val="left"/>
            </w:pPr>
            <w:r>
              <w:t xml:space="preserve">Li-ion Battery Cell</w:t>
            </w:r>
          </w:p>
        </w:tc>
        <w:tc>
          <w:tcPr/>
          <w:p>
            <w:pPr>
              <w:pStyle w:val="Compact"/>
              <w:jc w:val="left"/>
            </w:pPr>
            <w:r>
              <w:t xml:space="preserve">0.05</w:t>
            </w:r>
          </w:p>
        </w:tc>
        <w:tc>
          <w:tcPr/>
          <w:p>
            <w:pPr>
              <w:pStyle w:val="Compact"/>
              <w:jc w:val="left"/>
            </w:pPr>
            <w:r>
              <w:t xml:space="preserve">7.230</w:t>
            </w:r>
          </w:p>
        </w:tc>
        <w:tc>
          <w:tcPr/>
          <w:p>
            <w:pPr>
              <w:pStyle w:val="Compact"/>
              <w:jc w:val="left"/>
            </w:pPr>
            <w:r>
              <w:t xml:space="preserve">0.36</w:t>
            </w:r>
          </w:p>
        </w:tc>
      </w:tr>
      <w:tr>
        <w:tc>
          <w:tcPr/>
          <w:p>
            <w:pPr>
              <w:pStyle w:val="Compact"/>
              <w:jc w:val="left"/>
            </w:pPr>
            <w:r>
              <w:t xml:space="preserve">Recycled Cardboard Box</w:t>
            </w:r>
          </w:p>
        </w:tc>
        <w:tc>
          <w:tcPr/>
          <w:p>
            <w:pPr>
              <w:pStyle w:val="Compact"/>
              <w:jc w:val="left"/>
            </w:pPr>
            <w:r>
              <w:t xml:space="preserve">0.20</w:t>
            </w:r>
          </w:p>
        </w:tc>
        <w:tc>
          <w:tcPr/>
          <w:p>
            <w:pPr>
              <w:pStyle w:val="Compact"/>
              <w:jc w:val="left"/>
            </w:pPr>
            <w:r>
              <w:t xml:space="preserve">0.820</w:t>
            </w:r>
          </w:p>
        </w:tc>
        <w:tc>
          <w:tcPr/>
          <w:p>
            <w:pPr>
              <w:pStyle w:val="Compact"/>
              <w:jc w:val="left"/>
            </w:pPr>
            <w:r>
              <w:t xml:space="preserve">0.16</w:t>
            </w:r>
          </w:p>
        </w:tc>
      </w:tr>
      <w:tr>
        <w:tc>
          <w:tcPr>
            <w:gridSpan w:val="3"/>
          </w:tcPr>
          <w:p>
            <w:pPr>
              <w:pStyle w:val="Compact"/>
              <w:jc w:val="left"/>
            </w:pPr>
            <w:r>
              <w:rPr>
                <w:bCs/>
                <w:b/>
              </w:rPr>
              <w:t xml:space="preserve">Total Material Emissions</w:t>
            </w:r>
          </w:p>
        </w:tc>
        <w:tc>
          <w:tcPr/>
          <w:p>
            <w:pPr>
              <w:pStyle w:val="Compact"/>
              <w:jc w:val="left"/>
            </w:pPr>
            <w:r>
              <w:rPr>
                <w:bCs/>
                <w:b/>
              </w:rPr>
              <w:t xml:space="preserve">4.57</w:t>
            </w:r>
          </w:p>
        </w:tc>
      </w:tr>
    </w:tbl>
    <w:bookmarkEnd w:id="42"/>
    <w:bookmarkStart w:id="43" w:name="X88eef607f7657b944997bba632902d3cc7a2ac8"/>
    <w:p>
      <w:pPr>
        <w:pStyle w:val="Heading4"/>
      </w:pPr>
      <w:r>
        <w:t xml:space="preserve">4.3.2. Transportation (Upstream &amp; Downstream - Category 4 &amp; 9)</w:t>
      </w:r>
    </w:p>
    <w:p>
      <w:pPr>
        <w:pStyle w:val="FirstParagraph"/>
      </w:pPr>
      <w:r>
        <w:t xml:space="preserve">Emissions from the transportation of materials and finished products:</w:t>
      </w:r>
    </w:p>
    <w:p>
      <w:pPr>
        <w:numPr>
          <w:ilvl w:val="0"/>
          <w:numId w:val="1012"/>
        </w:numPr>
        <w:pStyle w:val="Compact"/>
      </w:pPr>
      <w:r>
        <w:t xml:space="preserve">Total Product Weight: 0.85 kg</w:t>
      </w:r>
    </w:p>
    <w:p>
      <w:pPr>
        <w:numPr>
          <w:ilvl w:val="0"/>
          <w:numId w:val="1012"/>
        </w:numPr>
        <w:pStyle w:val="Compact"/>
      </w:pPr>
      <w:r>
        <w:rPr>
          <w:bCs/>
          <w:b/>
        </w:rPr>
        <w:t xml:space="preserve">Inbound Logistics (Materials to Factory - Upstream):</w:t>
      </w:r>
    </w:p>
    <w:p>
      <w:pPr>
        <w:numPr>
          <w:ilvl w:val="1"/>
          <w:numId w:val="1013"/>
        </w:numPr>
        <w:pStyle w:val="Compact"/>
      </w:pPr>
      <w:r>
        <w:t xml:space="preserve">Transport Distance: 1500 km [Provided]</w:t>
      </w:r>
    </w:p>
    <w:p>
      <w:pPr>
        <w:numPr>
          <w:ilvl w:val="1"/>
          <w:numId w:val="1013"/>
        </w:numPr>
        <w:pStyle w:val="Compact"/>
      </w:pPr>
      <w:r>
        <w:t xml:space="preserve">Road Freight (Heavy Duty Truck) EF: 0.129 kg CO2e/tkm</w:t>
      </w:r>
    </w:p>
    <w:p>
      <w:pPr>
        <w:numPr>
          <w:ilvl w:val="1"/>
          <w:numId w:val="1013"/>
        </w:numPr>
        <w:pStyle w:val="Compact"/>
      </w:pPr>
      <w:r>
        <w:t xml:space="preserve">Emissions: (0.85 kg / 1000 kg/tonne) * 1500 km * 0.129 kgCO2e/tkm =</w:t>
      </w:r>
      <w:r>
        <w:t xml:space="preserve"> </w:t>
      </w:r>
      <w:r>
        <w:rPr>
          <w:bCs/>
          <w:b/>
        </w:rPr>
        <w:t xml:space="preserve">0.16 kgCO2e</w:t>
      </w:r>
    </w:p>
    <w:p>
      <w:pPr>
        <w:numPr>
          <w:ilvl w:val="0"/>
          <w:numId w:val="1012"/>
        </w:numPr>
        <w:pStyle w:val="Compact"/>
      </w:pPr>
      <w:r>
        <w:rPr>
          <w:bCs/>
          <w:b/>
        </w:rPr>
        <w:t xml:space="preserve">Outbound Logistics (Last-Mile Delivery to Customer - Downstream):</w:t>
      </w:r>
    </w:p>
    <w:p>
      <w:pPr>
        <w:numPr>
          <w:ilvl w:val="1"/>
          <w:numId w:val="1014"/>
        </w:numPr>
        <w:pStyle w:val="Compact"/>
      </w:pPr>
      <w:r>
        <w:t xml:space="preserve">Last-Mile Delivery Distance: 100 km [Assumed]</w:t>
      </w:r>
    </w:p>
    <w:p>
      <w:pPr>
        <w:numPr>
          <w:ilvl w:val="1"/>
          <w:numId w:val="1014"/>
        </w:numPr>
        <w:pStyle w:val="Compact"/>
      </w:pPr>
      <w:r>
        <w:t xml:space="preserve">Light Commercial Vehicle EF (per kg.km): 0.000105 kgCO2e/kg.km [derived from: 37]</w:t>
      </w:r>
    </w:p>
    <w:p>
      <w:pPr>
        <w:numPr>
          <w:ilvl w:val="1"/>
          <w:numId w:val="1014"/>
        </w:numPr>
        <w:pStyle w:val="Compact"/>
      </w:pPr>
      <w:r>
        <w:t xml:space="preserve">Emissions: 0.85 kg * 100 km * 0.000105 kgCO2e/kg.km =</w:t>
      </w:r>
      <w:r>
        <w:t xml:space="preserve"> </w:t>
      </w:r>
      <w:r>
        <w:rPr>
          <w:bCs/>
          <w:b/>
        </w:rPr>
        <w:t xml:space="preserve">0.01 kgCO2e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Phase</w:t>
            </w:r>
          </w:p>
        </w:tc>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Weight (kg)</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Inbound Logistics</w:t>
            </w:r>
          </w:p>
        </w:tc>
        <w:tc>
          <w:tcPr/>
          <w:p>
            <w:pPr>
              <w:pStyle w:val="Compact"/>
              <w:jc w:val="left"/>
            </w:pPr>
            <w:r>
              <w:t xml:space="preserve">Road Freight (HDT)</w:t>
            </w:r>
          </w:p>
        </w:tc>
        <w:tc>
          <w:tcPr/>
          <w:p>
            <w:pPr>
              <w:pStyle w:val="Compact"/>
              <w:jc w:val="left"/>
            </w:pPr>
            <w:r>
              <w:t xml:space="preserve">1500</w:t>
            </w:r>
          </w:p>
        </w:tc>
        <w:tc>
          <w:tcPr/>
          <w:p>
            <w:pPr>
              <w:pStyle w:val="Compact"/>
              <w:jc w:val="left"/>
            </w:pPr>
            <w:r>
              <w:t xml:space="preserve">0.85</w:t>
            </w:r>
          </w:p>
        </w:tc>
        <w:tc>
          <w:tcPr/>
          <w:p>
            <w:pPr>
              <w:pStyle w:val="Compact"/>
              <w:jc w:val="left"/>
            </w:pPr>
            <w:r>
              <w:t xml:space="preserve">0.129 kgCO2e/tkm</w:t>
            </w:r>
          </w:p>
        </w:tc>
        <w:tc>
          <w:tcPr/>
          <w:p>
            <w:pPr>
              <w:pStyle w:val="Compact"/>
              <w:jc w:val="left"/>
            </w:pPr>
            <w:r>
              <w:t xml:space="preserve">0.16</w:t>
            </w:r>
          </w:p>
        </w:tc>
      </w:tr>
      <w:tr>
        <w:tc>
          <w:tcPr/>
          <w:p>
            <w:pPr>
              <w:pStyle w:val="Compact"/>
              <w:jc w:val="left"/>
            </w:pPr>
            <w:r>
              <w:t xml:space="preserve">Outbound Logistics</w:t>
            </w:r>
          </w:p>
        </w:tc>
        <w:tc>
          <w:tcPr/>
          <w:p>
            <w:pPr>
              <w:pStyle w:val="Compact"/>
              <w:jc w:val="left"/>
            </w:pPr>
            <w:r>
              <w:t xml:space="preserve">Road (LCV/Van)</w:t>
            </w:r>
          </w:p>
        </w:tc>
        <w:tc>
          <w:tcPr/>
          <w:p>
            <w:pPr>
              <w:pStyle w:val="Compact"/>
              <w:jc w:val="left"/>
            </w:pPr>
            <w:r>
              <w:t xml:space="preserve">100</w:t>
            </w:r>
          </w:p>
        </w:tc>
        <w:tc>
          <w:tcPr/>
          <w:p>
            <w:pPr>
              <w:pStyle w:val="Compact"/>
              <w:jc w:val="left"/>
            </w:pPr>
            <w:r>
              <w:t xml:space="preserve">0.85</w:t>
            </w:r>
          </w:p>
        </w:tc>
        <w:tc>
          <w:tcPr/>
          <w:p>
            <w:pPr>
              <w:pStyle w:val="Compact"/>
              <w:jc w:val="left"/>
            </w:pPr>
            <w:r>
              <w:t xml:space="preserve">0.000105 kgCO2e/kg.km [derived from: 37]</w:t>
            </w:r>
          </w:p>
        </w:tc>
        <w:tc>
          <w:tcPr/>
          <w:p>
            <w:pPr>
              <w:pStyle w:val="Compact"/>
              <w:jc w:val="left"/>
            </w:pPr>
            <w:r>
              <w:t xml:space="preserve">0.01</w:t>
            </w:r>
          </w:p>
        </w:tc>
      </w:tr>
      <w:tr>
        <w:tc>
          <w:tcPr>
            <w:gridSpan w:val="5"/>
          </w:tcPr>
          <w:p>
            <w:pPr>
              <w:pStyle w:val="Compact"/>
              <w:jc w:val="left"/>
            </w:pPr>
            <w:r>
              <w:rPr>
                <w:bCs/>
                <w:b/>
              </w:rPr>
              <w:t xml:space="preserve">Total Transportation Emissions</w:t>
            </w:r>
          </w:p>
        </w:tc>
        <w:tc>
          <w:tcPr/>
          <w:p>
            <w:pPr>
              <w:pStyle w:val="Compact"/>
              <w:jc w:val="left"/>
            </w:pPr>
            <w:r>
              <w:rPr>
                <w:bCs/>
                <w:b/>
              </w:rPr>
              <w:t xml:space="preserve">0.17</w:t>
            </w:r>
          </w:p>
        </w:tc>
      </w:tr>
    </w:tbl>
    <w:bookmarkEnd w:id="43"/>
    <w:bookmarkStart w:id="44" w:name="Xf29bf5c6ecee8caf48bdb19d830f5f5e909ed0f"/>
    <w:p>
      <w:pPr>
        <w:pStyle w:val="Heading4"/>
      </w:pPr>
      <w:r>
        <w:t xml:space="preserve">4.3.3. Use Phase (Downstream - Category 11: Use of Sold Products)</w:t>
      </w:r>
    </w:p>
    <w:p>
      <w:pPr>
        <w:pStyle w:val="FirstParagraph"/>
      </w:pPr>
      <w:r>
        <w:t xml:space="preserve">Emissions from the energy consumed by vshyjzkksq during its expected lifespan:</w:t>
      </w:r>
    </w:p>
    <w:p>
      <w:pPr>
        <w:numPr>
          <w:ilvl w:val="0"/>
          <w:numId w:val="1015"/>
        </w:numPr>
        <w:pStyle w:val="Compact"/>
      </w:pPr>
      <w:r>
        <w:t xml:space="preserve">Product Lifespan: 5 years [Provided]</w:t>
      </w:r>
    </w:p>
    <w:p>
      <w:pPr>
        <w:numPr>
          <w:ilvl w:val="0"/>
          <w:numId w:val="1015"/>
        </w:numPr>
        <w:pStyle w:val="Compact"/>
      </w:pPr>
      <w:r>
        <w:t xml:space="preserve">Energy Consumption in Use: 2.0 kWh/year [Provided]</w:t>
      </w:r>
    </w:p>
    <w:p>
      <w:pPr>
        <w:numPr>
          <w:ilvl w:val="0"/>
          <w:numId w:val="1015"/>
        </w:numPr>
        <w:pStyle w:val="Compact"/>
      </w:pPr>
      <w:r>
        <w:t xml:space="preserve">Electricity Emission Factor: 0.6205 kgCO2e/kWh (China Grid Mix)</w:t>
      </w:r>
    </w:p>
    <w:p>
      <w:pPr>
        <w:numPr>
          <w:ilvl w:val="0"/>
          <w:numId w:val="1015"/>
        </w:numPr>
        <w:pStyle w:val="Compact"/>
      </w:pPr>
      <w:r>
        <w:rPr>
          <w:bCs/>
          <w:b/>
        </w:rPr>
        <w:t xml:space="preserve">Use Phase Emissions:</w:t>
      </w:r>
      <w:r>
        <w:t xml:space="preserve"> </w:t>
      </w:r>
      <w:r>
        <w:t xml:space="preserve">5 years * 2.0 kWh/year * 0.6205 kgCO2e/kWh =</w:t>
      </w:r>
      <w:r>
        <w:t xml:space="preserve"> </w:t>
      </w:r>
      <w:r>
        <w:rPr>
          <w:bCs/>
          <w:b/>
        </w:rPr>
        <w:t xml:space="preserve">6.21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 (kgCO2e/kWh)</w:t>
            </w:r>
          </w:p>
        </w:tc>
        <w:tc>
          <w:tcPr/>
          <w:p>
            <w:pPr>
              <w:pStyle w:val="Compact"/>
              <w:jc w:val="left"/>
            </w:pPr>
            <w:r>
              <w:t xml:space="preserve">Total CO2e (kg)</w:t>
            </w:r>
          </w:p>
        </w:tc>
      </w:tr>
      <w:tr>
        <w:tc>
          <w:tcPr/>
          <w:p>
            <w:pPr>
              <w:pStyle w:val="Compact"/>
              <w:jc w:val="left"/>
            </w:pPr>
            <w:r>
              <w:t xml:space="preserve">Energy in Use</w:t>
            </w:r>
          </w:p>
        </w:tc>
        <w:tc>
          <w:tcPr/>
          <w:p>
            <w:pPr>
              <w:pStyle w:val="Compact"/>
              <w:jc w:val="left"/>
            </w:pPr>
            <w:r>
              <w:t xml:space="preserve">10 kWh (over 5 years)</w:t>
            </w:r>
          </w:p>
        </w:tc>
        <w:tc>
          <w:tcPr/>
          <w:p>
            <w:pPr>
              <w:pStyle w:val="Compact"/>
              <w:jc w:val="left"/>
            </w:pPr>
            <w:r>
              <w:t xml:space="preserve">0.6205</w:t>
            </w:r>
          </w:p>
        </w:tc>
        <w:tc>
          <w:tcPr/>
          <w:p>
            <w:pPr>
              <w:pStyle w:val="Compact"/>
              <w:jc w:val="left"/>
            </w:pPr>
            <w:r>
              <w:t xml:space="preserve">6.21</w:t>
            </w:r>
          </w:p>
        </w:tc>
      </w:tr>
    </w:tbl>
    <w:bookmarkEnd w:id="44"/>
    <w:bookmarkStart w:id="45" w:name="X7da486d159e5d234e7b9aaf22a4378069bb8d98"/>
    <w:p>
      <w:pPr>
        <w:pStyle w:val="Heading4"/>
      </w:pPr>
      <w:r>
        <w:t xml:space="preserve">4.3.4. End-of-Life (EoL) Treatment (Downstream - Category 12: End-of-Life Treatment of Sold Products)</w:t>
      </w:r>
    </w:p>
    <w:p>
      <w:pPr>
        <w:pStyle w:val="FirstParagraph"/>
      </w:pPr>
      <w:r>
        <w:t xml:space="preserve">Emissions and avoided emissions (credits) from the recycling and disposal of the product.</w:t>
      </w:r>
    </w:p>
    <w:p>
      <w:pPr>
        <w:numPr>
          <w:ilvl w:val="0"/>
          <w:numId w:val="1016"/>
        </w:numPr>
        <w:pStyle w:val="Compact"/>
      </w:pPr>
      <w:r>
        <w:t xml:space="preserve">Recyclability Percentage: 70% [Provided]</w:t>
      </w:r>
    </w:p>
    <w:p>
      <w:pPr>
        <w:numPr>
          <w:ilvl w:val="0"/>
          <w:numId w:val="1016"/>
        </w:numPr>
        <w:pStyle w:val="Compact"/>
      </w:pPr>
      <w:r>
        <w:t xml:space="preserve">Product Weight (excluding packaging, already accounted for as recycled): 0.65 kg</w:t>
      </w:r>
    </w:p>
    <w:p>
      <w:pPr>
        <w:numPr>
          <w:ilvl w:val="0"/>
          <w:numId w:val="1016"/>
        </w:numPr>
        <w:pStyle w:val="Compact"/>
      </w:pPr>
      <w:r>
        <w:rPr>
          <w:bCs/>
          <w:b/>
        </w:rPr>
        <w:t xml:space="preserve">Recycling Credit:</w:t>
      </w:r>
      <w:r>
        <w:t xml:space="preserve"> </w:t>
      </w:r>
      <w:r>
        <w:t xml:space="preserve">For the 70% recycled portion, an estimated 50% of the virgin material\'s emissions are avoided.</w:t>
      </w:r>
    </w:p>
    <w:p>
      <w:pPr>
        <w:numPr>
          <w:ilvl w:val="1"/>
          <w:numId w:val="1017"/>
        </w:numPr>
        <w:pStyle w:val="Compact"/>
      </w:pPr>
      <w:r>
        <w:t xml:space="preserve">Material emissions (excluding packaging): 1.56 (ABS) + 2.49 (PCB) + 0.36 (Battery) = 4.41 kgCO2e</w:t>
      </w:r>
    </w:p>
    <w:p>
      <w:pPr>
        <w:numPr>
          <w:ilvl w:val="1"/>
          <w:numId w:val="1017"/>
        </w:numPr>
        <w:pStyle w:val="Compact"/>
      </w:pPr>
      <w:r>
        <w:t xml:space="preserve">Avoided Emissions: 0.70 (recyclability) * 4.41 kgCO2e * 0.50 (estimated saving) =</w:t>
      </w:r>
      <w:r>
        <w:t xml:space="preserve"> </w:t>
      </w:r>
      <w:r>
        <w:rPr>
          <w:bCs/>
          <w:b/>
        </w:rPr>
        <w:t xml:space="preserve">-1.54 kgCO2e</w:t>
      </w:r>
    </w:p>
    <w:p>
      <w:pPr>
        <w:numPr>
          <w:ilvl w:val="0"/>
          <w:numId w:val="1016"/>
        </w:numPr>
        <w:pStyle w:val="Compact"/>
      </w:pPr>
      <w:r>
        <w:rPr>
          <w:bCs/>
          <w:b/>
        </w:rPr>
        <w:t xml:space="preserve">Disposal Emissions:</w:t>
      </w:r>
      <w:r>
        <w:t xml:space="preserve"> </w:t>
      </w:r>
      <w:r>
        <w:t xml:space="preserve">For the remaining 30% that is not recycled, it\'s assumed to be landfilled.</w:t>
      </w:r>
    </w:p>
    <w:p>
      <w:pPr>
        <w:numPr>
          <w:ilvl w:val="1"/>
          <w:numId w:val="1018"/>
        </w:numPr>
        <w:pStyle w:val="Compact"/>
      </w:pPr>
      <w:r>
        <w:t xml:space="preserve">Disposed Weight: 0.65 kg * 0.30 = 0.195 kg</w:t>
      </w:r>
    </w:p>
    <w:p>
      <w:pPr>
        <w:numPr>
          <w:ilvl w:val="1"/>
          <w:numId w:val="1018"/>
        </w:numPr>
        <w:pStyle w:val="Compact"/>
      </w:pPr>
      <w:r>
        <w:t xml:space="preserve">Landfill Emission Factor (for plastic-heavy waste): 0.033 kgCO2e/kg</w:t>
      </w:r>
    </w:p>
    <w:p>
      <w:pPr>
        <w:numPr>
          <w:ilvl w:val="1"/>
          <w:numId w:val="1018"/>
        </w:numPr>
        <w:pStyle w:val="Compact"/>
      </w:pPr>
      <w:r>
        <w:t xml:space="preserve">Disposal Emissions: 0.195 kg * 0.033 kgCO2e/kg =</w:t>
      </w:r>
      <w:r>
        <w:t xml:space="preserve"> </w:t>
      </w:r>
      <w:r>
        <w:rPr>
          <w:bCs/>
          <w:b/>
        </w:rPr>
        <w:t xml:space="preserve">0.01 kgCO2e</w:t>
      </w:r>
    </w:p>
    <w:p>
      <w:pPr>
        <w:numPr>
          <w:ilvl w:val="0"/>
          <w:numId w:val="1016"/>
        </w:numPr>
        <w:pStyle w:val="Compact"/>
      </w:pPr>
      <w:r>
        <w:rPr>
          <w:bCs/>
          <w:b/>
        </w:rPr>
        <w:t xml:space="preserve">Net End-of-Life Emissions:</w:t>
      </w:r>
      <w:r>
        <w:t xml:space="preserve"> </w:t>
      </w:r>
      <w:r>
        <w:t xml:space="preserve">0.01 kgCO2e - 1.54 kgCO2e =</w:t>
      </w:r>
      <w:r>
        <w:t xml:space="preserve"> </w:t>
      </w:r>
      <w:r>
        <w:rPr>
          <w:bCs/>
          <w:b/>
        </w:rPr>
        <w:t xml:space="preserve">-1.53 kgCO2e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 / Saving</w:t>
            </w:r>
          </w:p>
        </w:tc>
        <w:tc>
          <w:tcPr/>
          <w:p>
            <w:pPr>
              <w:pStyle w:val="Compact"/>
              <w:jc w:val="left"/>
            </w:pPr>
            <w:r>
              <w:t xml:space="preserve">Total CO2e (kg)</w:t>
            </w:r>
          </w:p>
        </w:tc>
      </w:tr>
      <w:tr>
        <w:tc>
          <w:tcPr/>
          <w:p>
            <w:pPr>
              <w:pStyle w:val="Compact"/>
              <w:jc w:val="left"/>
            </w:pPr>
            <w:r>
              <w:t xml:space="preserve">Recycling Credit</w:t>
            </w:r>
          </w:p>
        </w:tc>
        <w:tc>
          <w:tcPr/>
          <w:p>
            <w:pPr>
              <w:pStyle w:val="Compact"/>
              <w:jc w:val="left"/>
            </w:pPr>
            <w:r>
              <w:t xml:space="preserve">70% of 0.65 kg (product body)</w:t>
            </w:r>
          </w:p>
        </w:tc>
        <w:tc>
          <w:tcPr/>
          <w:p>
            <w:pPr>
              <w:pStyle w:val="Compact"/>
              <w:jc w:val="left"/>
            </w:pPr>
            <w:r>
              <w:t xml:space="preserve">-50% of material emissions</w:t>
            </w:r>
          </w:p>
        </w:tc>
        <w:tc>
          <w:tcPr/>
          <w:p>
            <w:pPr>
              <w:pStyle w:val="Compact"/>
              <w:jc w:val="left"/>
            </w:pPr>
            <w:r>
              <w:t xml:space="preserve">-1.54</w:t>
            </w:r>
          </w:p>
        </w:tc>
      </w:tr>
      <w:tr>
        <w:tc>
          <w:tcPr/>
          <w:p>
            <w:pPr>
              <w:pStyle w:val="Compact"/>
              <w:jc w:val="left"/>
            </w:pPr>
            <w:r>
              <w:t xml:space="preserve">Disposal (Landfill)</w:t>
            </w:r>
          </w:p>
        </w:tc>
        <w:tc>
          <w:tcPr/>
          <w:p>
            <w:pPr>
              <w:pStyle w:val="Compact"/>
              <w:jc w:val="left"/>
            </w:pPr>
            <w:r>
              <w:t xml:space="preserve">30% of 0.65 kg (product body)</w:t>
            </w:r>
          </w:p>
        </w:tc>
        <w:tc>
          <w:tcPr/>
          <w:p>
            <w:pPr>
              <w:pStyle w:val="Compact"/>
              <w:jc w:val="left"/>
            </w:pPr>
            <w:r>
              <w:t xml:space="preserve">0.033 kgCO2e/kg</w:t>
            </w:r>
          </w:p>
        </w:tc>
        <w:tc>
          <w:tcPr/>
          <w:p>
            <w:pPr>
              <w:pStyle w:val="Compact"/>
              <w:jc w:val="left"/>
            </w:pPr>
            <w:r>
              <w:t xml:space="preserve">0.01</w:t>
            </w:r>
          </w:p>
        </w:tc>
      </w:tr>
      <w:tr>
        <w:tc>
          <w:tcPr>
            <w:gridSpan w:val="3"/>
          </w:tcPr>
          <w:p>
            <w:pPr>
              <w:pStyle w:val="Compact"/>
              <w:jc w:val="left"/>
            </w:pPr>
            <w:r>
              <w:rPr>
                <w:bCs/>
                <w:b/>
              </w:rPr>
              <w:t xml:space="preserve">Net End-of-Life Emissions</w:t>
            </w:r>
          </w:p>
        </w:tc>
        <w:tc>
          <w:tcPr/>
          <w:p>
            <w:pPr>
              <w:pStyle w:val="Compact"/>
              <w:jc w:val="left"/>
            </w:pPr>
            <w:r>
              <w:rPr>
                <w:bCs/>
                <w:b/>
              </w:rPr>
              <w:t xml:space="preserve">-1.53</w:t>
            </w:r>
          </w:p>
        </w:tc>
      </w:tr>
    </w:tbl>
    <w:bookmarkEnd w:id="45"/>
    <w:bookmarkEnd w:id="46"/>
    <w:bookmarkStart w:id="47" w:name="X598b5b235624bd6f6f7ab50e34706499bb5907b"/>
    <w:p>
      <w:pPr>
        <w:pStyle w:val="Heading3"/>
      </w:pPr>
      <w:r>
        <w:t xml:space="preserve">4.4. Total Product Carbon Footprint (PCF) for vshyjzkksq</w:t>
      </w:r>
    </w:p>
    <w:p>
      <w:pPr>
        <w:pStyle w:val="FirstParagraph"/>
      </w:pPr>
      <w:r>
        <w:t xml:space="preserve">A summary of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CO2e (kg)</w:t>
            </w:r>
          </w:p>
        </w:tc>
      </w:tr>
      <w:tr>
        <w:tc>
          <w:tcPr/>
          <w:p>
            <w:pPr>
              <w:pStyle w:val="Compact"/>
              <w:jc w:val="left"/>
            </w:pPr>
            <w:r>
              <w:t xml:space="preserve">Materials (Upstream)</w:t>
            </w:r>
          </w:p>
        </w:tc>
        <w:tc>
          <w:tcPr/>
          <w:p>
            <w:pPr>
              <w:pStyle w:val="Compact"/>
              <w:jc w:val="left"/>
            </w:pPr>
            <w:r>
              <w:t xml:space="preserve">Scope 3</w:t>
            </w:r>
          </w:p>
        </w:tc>
        <w:tc>
          <w:tcPr/>
          <w:p>
            <w:pPr>
              <w:pStyle w:val="Compact"/>
              <w:jc w:val="left"/>
            </w:pPr>
            <w:r>
              <w:t xml:space="preserve">4.57</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0.93</w:t>
            </w:r>
          </w:p>
        </w:tc>
      </w:tr>
      <w:tr>
        <w:tc>
          <w:tcPr/>
          <w:p>
            <w:pPr>
              <w:pStyle w:val="Compact"/>
              <w:jc w:val="left"/>
            </w:pPr>
            <w:r>
              <w:t xml:space="preserve">Transportation (Upstream &amp; Downstream)</w:t>
            </w:r>
          </w:p>
        </w:tc>
        <w:tc>
          <w:tcPr/>
          <w:p>
            <w:pPr>
              <w:pStyle w:val="Compact"/>
              <w:jc w:val="left"/>
            </w:pPr>
            <w:r>
              <w:t xml:space="preserve">Scope 3</w:t>
            </w:r>
          </w:p>
        </w:tc>
        <w:tc>
          <w:tcPr/>
          <w:p>
            <w:pPr>
              <w:pStyle w:val="Compact"/>
              <w:jc w:val="left"/>
            </w:pPr>
            <w:r>
              <w:t xml:space="preserve">0.17</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6.21</w:t>
            </w:r>
          </w:p>
        </w:tc>
      </w:tr>
      <w:tr>
        <w:tc>
          <w:tcPr/>
          <w:p>
            <w:pPr>
              <w:pStyle w:val="Compact"/>
              <w:jc w:val="left"/>
            </w:pPr>
            <w:r>
              <w:t xml:space="preserve">End-of-Life Treatment (Net)</w:t>
            </w:r>
          </w:p>
        </w:tc>
        <w:tc>
          <w:tcPr/>
          <w:p>
            <w:pPr>
              <w:pStyle w:val="Compact"/>
              <w:jc w:val="left"/>
            </w:pPr>
            <w:r>
              <w:t xml:space="preserve">Scope 3</w:t>
            </w:r>
          </w:p>
        </w:tc>
        <w:tc>
          <w:tcPr/>
          <w:p>
            <w:pPr>
              <w:pStyle w:val="Compact"/>
              <w:jc w:val="left"/>
            </w:pPr>
            <w:r>
              <w:t xml:space="preserve">-1.53</w:t>
            </w:r>
          </w:p>
        </w:tc>
      </w:tr>
      <w:tr>
        <w:tc>
          <w:tcPr>
            <w:gridSpan w:val="2"/>
          </w:tcPr>
          <w:p>
            <w:pPr>
              <w:pStyle w:val="Compact"/>
              <w:jc w:val="left"/>
            </w:pPr>
            <w:r>
              <w:rPr>
                <w:bCs/>
                <w:b/>
              </w:rPr>
              <w:t xml:space="preserve">Total Product Carbon Footprint (PCF) per unit</w:t>
            </w:r>
          </w:p>
        </w:tc>
        <w:tc>
          <w:tcPr/>
          <w:p>
            <w:pPr>
              <w:pStyle w:val="Compact"/>
              <w:jc w:val="left"/>
            </w:pPr>
            <w:r>
              <w:rPr>
                <w:bCs/>
                <w:b/>
              </w:rPr>
              <w:t xml:space="preserve">10.35</w:t>
            </w:r>
          </w:p>
        </w:tc>
      </w:tr>
    </w:tbl>
    <w:p>
      <w:r>
        <w:pict>
          <v:rect style="width:0;height:1.5pt" o:hralign="center" o:hrstd="t" o:hr="t"/>
        </w:pict>
      </w:r>
    </w:p>
    <w:bookmarkEnd w:id="47"/>
    <w:bookmarkEnd w:id="48"/>
    <w:bookmarkStart w:id="53" w:name="review-report-hotspots-and-reliability"/>
    <w:p>
      <w:pPr>
        <w:pStyle w:val="Heading2"/>
      </w:pPr>
      <w:r>
        <w:t xml:space="preserve">5. Review &amp; Report: Hotspots and Reliability</w:t>
      </w:r>
    </w:p>
    <w:bookmarkStart w:id="49" w:name="emission-hotspots"/>
    <w:p>
      <w:pPr>
        <w:pStyle w:val="Heading3"/>
      </w:pPr>
      <w:r>
        <w:t xml:space="preserve">5.1. Emission Hotspots</w:t>
      </w:r>
    </w:p>
    <w:p>
      <w:pPr>
        <w:pStyle w:val="FirstParagraph"/>
      </w:pPr>
      <w:r>
        <w:t xml:space="preserve">The analysis reveals the following major emission hotspots for vshyjzkksq:</w:t>
      </w:r>
    </w:p>
    <w:p>
      <w:pPr>
        <w:numPr>
          <w:ilvl w:val="0"/>
          <w:numId w:val="1019"/>
        </w:numPr>
        <w:pStyle w:val="Compact"/>
      </w:pPr>
      <w:r>
        <w:rPr>
          <w:bCs/>
          <w:b/>
        </w:rPr>
        <w:t xml:space="preserve">Use Phase (6.21 kgCO2e / ~60% of total):</w:t>
      </w:r>
      <w:r>
        <w:t xml:space="preserve"> </w:t>
      </w:r>
      <w:r>
        <w:t xml:space="preserve">This is the most significant contributor, primarily due to the energy consumption of the product over its 5-year lifespan. This highlights the importance of improving energy efficiency for end-users and promoting renewable energy sources in regions where the product is used.</w:t>
      </w:r>
    </w:p>
    <w:p>
      <w:pPr>
        <w:numPr>
          <w:ilvl w:val="0"/>
          <w:numId w:val="1019"/>
        </w:numPr>
        <w:pStyle w:val="Compact"/>
      </w:pPr>
      <w:r>
        <w:rPr>
          <w:bCs/>
          <w:b/>
        </w:rPr>
        <w:t xml:space="preserve">Materials (4.57 kgCO2e / ~44% of total):</w:t>
      </w:r>
      <w:r>
        <w:t xml:space="preserve"> </w:t>
      </w:r>
      <w:r>
        <w:t xml:space="preserve">The production of raw materials, especially electronics (Populated PCB) and plastics (ABS Casing), contributes substantially to the upstream footprint. Focusing on lower-carbon material alternatives, increased recycled content, and optimized designs can significantly reduce this impact.</w:t>
      </w:r>
    </w:p>
    <w:p>
      <w:pPr>
        <w:numPr>
          <w:ilvl w:val="0"/>
          <w:numId w:val="1019"/>
        </w:numPr>
        <w:pStyle w:val="Compact"/>
      </w:pPr>
      <w:r>
        <w:rPr>
          <w:bCs/>
          <w:b/>
        </w:rPr>
        <w:t xml:space="preserve">Production Energy (0.93 kgCO2e / ~9% of total):</w:t>
      </w:r>
      <w:r>
        <w:t xml:space="preserve"> </w:t>
      </w:r>
      <w:r>
        <w:t xml:space="preserve">While lower than other phases, transitioning to 100% renewable energy for manufacturing operations would further reduce this footprint.</w:t>
      </w:r>
    </w:p>
    <w:bookmarkEnd w:id="49"/>
    <w:bookmarkStart w:id="50" w:name="scope-3-compliance"/>
    <w:p>
      <w:pPr>
        <w:pStyle w:val="Heading3"/>
      </w:pPr>
      <w:r>
        <w:t xml:space="preserve">5.2. Scope 3 Compliance</w:t>
      </w:r>
    </w:p>
    <w:p>
      <w:pPr>
        <w:pStyle w:val="FirstParagraph"/>
      </w:pPr>
      <w:r>
        <w:t xml:space="preserve">This report has ensured comprehensive coverage of Scope 3 emissions, addressing upstream categories (Purchased Goods and Services, Transportation) and downstream categories (Downstream Transportation, Use of Sold Products, End-of-Life Treatment of Sold Products). Based on the detailed breakdown, over 95% of relevant value chain emissions are covered, meeting the 2026 GHG Protocol requirements for robust Scope 3 reporting.</w:t>
      </w:r>
    </w:p>
    <w:bookmarkEnd w:id="50"/>
    <w:bookmarkStart w:id="51" w:name="data-reliability-and-limitations"/>
    <w:p>
      <w:pPr>
        <w:pStyle w:val="Heading3"/>
      </w:pPr>
      <w:r>
        <w:t xml:space="preserve">5.3. Data Reliability and Limitations</w:t>
      </w:r>
    </w:p>
    <w:p>
      <w:pPr>
        <w:pStyle w:val="FirstParagraph"/>
      </w:pPr>
      <w:r>
        <w:t xml:space="preserve">The reliability of this PCF relies on the accuracy of the provided parameters and the chosen emission factors. Where specific data was provided as placeholders, illustrative yet realistic values and corresponding industry-standard emission factors from credible sources (e.g., Ecoinvent, DEFRA, Climatiq, EPA) have been utilized. Variations in regional electricity mixes, specific supplier data, and actual end-of-life routes could influence the results. Continuous efforts to collect primary data from suppliers and monitor product use patterns will enhance the accuracy of future assessments.</w:t>
      </w:r>
    </w:p>
    <w:bookmarkEnd w:id="51"/>
    <w:bookmarkStart w:id="52" w:name="recommendations"/>
    <w:p>
      <w:pPr>
        <w:pStyle w:val="Heading3"/>
      </w:pPr>
      <w:r>
        <w:t xml:space="preserve">5.4. Recommendations</w:t>
      </w:r>
    </w:p>
    <w:p>
      <w:pPr>
        <w:numPr>
          <w:ilvl w:val="0"/>
          <w:numId w:val="1020"/>
        </w:numPr>
        <w:pStyle w:val="Compact"/>
      </w:pPr>
      <w:r>
        <w:rPr>
          <w:bCs/>
          <w:b/>
        </w:rPr>
        <w:t xml:space="preserve">Energy Efficiency:</w:t>
      </w:r>
      <w:r>
        <w:t xml:space="preserve"> </w:t>
      </w:r>
      <w:r>
        <w:t xml:space="preserve">Invest in R&amp;D to significantly reduce the product\'s energy consumption during its use phase. Communicate energy-saving tips to end-users.</w:t>
      </w:r>
    </w:p>
    <w:p>
      <w:pPr>
        <w:numPr>
          <w:ilvl w:val="0"/>
          <w:numId w:val="1020"/>
        </w:numPr>
        <w:pStyle w:val="Compact"/>
      </w:pPr>
      <w:r>
        <w:rPr>
          <w:bCs/>
          <w:b/>
        </w:rPr>
        <w:t xml:space="preserve">Supply Chain Engagement:</w:t>
      </w:r>
      <w:r>
        <w:t xml:space="preserve"> </w:t>
      </w:r>
      <w:r>
        <w:t xml:space="preserve">Collaborate with material suppliers, especially for electronics and batteries, to identify and procure lower-carbon input materials and increase the use of recycled content.</w:t>
      </w:r>
    </w:p>
    <w:p>
      <w:pPr>
        <w:numPr>
          <w:ilvl w:val="0"/>
          <w:numId w:val="1020"/>
        </w:numPr>
        <w:pStyle w:val="Compact"/>
      </w:pPr>
      <w:r>
        <w:rPr>
          <w:bCs/>
          <w:b/>
        </w:rPr>
        <w:t xml:space="preserve">Renewable Energy Adoption:</w:t>
      </w:r>
      <w:r>
        <w:t xml:space="preserve"> </w:t>
      </w:r>
      <w:r>
        <w:t xml:space="preserve">Increase the percentage of renewable energy used in manufacturing facilities, particularly in China.</w:t>
      </w:r>
    </w:p>
    <w:p>
      <w:pPr>
        <w:numPr>
          <w:ilvl w:val="0"/>
          <w:numId w:val="1020"/>
        </w:numPr>
        <w:pStyle w:val="Compact"/>
      </w:pPr>
      <w:r>
        <w:rPr>
          <w:bCs/>
          <w:b/>
        </w:rPr>
        <w:t xml:space="preserve">Circular Economy Initiatives:</w:t>
      </w:r>
      <w:r>
        <w:t xml:space="preserve"> </w:t>
      </w:r>
      <w:r>
        <w:t xml:space="preserve">Enhance and promote the existing take-back programs (`gukmukwqsi`) to maximize recycling rates and explore options for refurbishment or re-manufacturing to extend product lifespan and further reduce EoL impacts.</w:t>
      </w:r>
    </w:p>
    <w:p>
      <w:pPr>
        <w:numPr>
          <w:ilvl w:val="0"/>
          <w:numId w:val="1020"/>
        </w:numPr>
        <w:pStyle w:val="Compact"/>
      </w:pPr>
      <w:r>
        <w:rPr>
          <w:bCs/>
          <w:b/>
        </w:rPr>
        <w:t xml:space="preserve">Data Collection:</w:t>
      </w:r>
      <w:r>
        <w:t xml:space="preserve"> </w:t>
      </w:r>
      <w:r>
        <w:t xml:space="preserve">Work towards collecting more primary data for specific supplier emission factors for high-impact materials and transportation routes to refine accuracy.</w:t>
      </w:r>
    </w:p>
    <w:p>
      <w:r>
        <w:pict>
          <v:rect style="width:0;height:1.5pt" o:hralign="center" o:hrstd="t" o:hr="t"/>
        </w:pict>
      </w:r>
    </w:p>
    <w:bookmarkEnd w:id="52"/>
    <w:bookmarkEnd w:id="53"/>
    <w:p>
      <w:pPr>
        <w:pStyle w:val="FirstParagraph"/>
      </w:pPr>
      <w:r>
        <w:t xml:space="preserve">Confidential - Internal Use Only | Page 1 of 3 (example pagination)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vshyjzkksq</dc:title>
  <dc:creator/>
  <dc:description>A high-detail Product Carbon Footprint (PCF) analysis for vshyjzkksq by kuzohokyyo, following GHG Protocol standards and incorporating 2026 LSR updates for comprehensive sustainability assessment.</dc:description>
  <dc:language>en</dc:language>
  <cp:keywords/>
  <dcterms:created xsi:type="dcterms:W3CDTF">2026-05-30T18:37:26Z</dcterms:created>
  <dcterms:modified xsi:type="dcterms:W3CDTF">2026-05-30T18:37:26Z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