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vshhzxjvtm</w:t>
      </w:r>
      <w:r>
        <w:t xml:space="preserve"> </w:t>
      </w:r>
      <w:r>
        <w:t xml:space="preserve">(EcoHub</w:t>
      </w:r>
      <w:r>
        <w:t xml:space="preserve"> </w:t>
      </w:r>
      <w:r>
        <w:t xml:space="preserve">2000)</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vshhzxjvtm (EcoHub 2000)</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yyrfvtolko</w:t>
      </w:r>
    </w:p>
    <w:p>
      <w:pPr>
        <w:pStyle w:val="BodyText"/>
      </w:pPr>
      <w:r>
        <w:rPr>
          <w:bCs/>
          <w:b/>
        </w:rPr>
        <w:t xml:space="preserve">Senior Sustainability Consultant:</w:t>
      </w:r>
      <w:r>
        <w:t xml:space="preserve"> </w:t>
      </w:r>
      <w:r>
        <w:t xml:space="preserve">dnqrllitwt</w:t>
      </w:r>
    </w:p>
    <w:p>
      <w:pPr>
        <w:pStyle w:val="BodyText"/>
      </w:pPr>
      <w:r>
        <w:t xml:space="preserve">Disclaimer: This report is generated based on available data and industry standards. While every effort has been made to ensure accuracy, actual impacts may vary based on specific operational details and evolving methodologies.</w:t>
      </w:r>
    </w:p>
    <w:bookmarkEnd w:id="20"/>
    <w:bookmarkStart w:id="45" w:name="X2f7484959e96afbf6f11e653d748efa1c3b1bdf"/>
    <w:p>
      <w:pPr>
        <w:pStyle w:val="Heading1"/>
      </w:pPr>
      <w:r>
        <w:t xml:space="preserve">Product Carbon Footprint Analysis Report for vshhzxjvtm (EcoHub 2000)</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vshhzxjvtm, hereafter referred to as "EcoHub 2000", manufactured by yyrfvtolko. The analysis was performed by Senior Sustainability Consultant dnqrllitwt, specializing in GHG Protocol. Adhering strictly to the GHG Protocol, this assessment covers the entire lifecycle of the EcoHub 2000, from raw material extraction to end-of-life, with a specific focus on upstream and downstream Scope 3 emissions in addition to direct Scope 1 and 2 emissions. Key parameters such as a detailed Bill of Materials, specific transportation logistics, renewable energy usage, product lifespan, and end-of-life scenarios have been incorporated for a comprehensive evaluation. The report also integrates the latest 2026 updates to the GHG Protocol, including the Land Sector and Removals (LSR) Standard and the 95% Scope 3 coverage rule.</w:t>
      </w:r>
    </w:p>
    <w:p>
      <w:r>
        <w:pict>
          <v:rect style="width:0;height:1.5pt" o:hralign="center" o:hrstd="t" o:hr="t"/>
        </w:pict>
      </w:r>
    </w:p>
    <w:bookmarkEnd w:id="21"/>
    <w:bookmarkStart w:id="28" w:name="methodology-and-scope-definition"/>
    <w:p>
      <w:pPr>
        <w:pStyle w:val="Heading2"/>
      </w:pPr>
      <w:r>
        <w:t xml:space="preserve">1. Methodology and Scope Definition</w:t>
      </w:r>
    </w:p>
    <w:p>
      <w:pPr>
        <w:pStyle w:val="FirstParagraph"/>
      </w:pPr>
      <w:r>
        <w:t xml:space="preserve">The Product Carbon Footprint (PCF) analysis for yyrfvtolko\'s "EcoHub 2000" follows the Greenhouse Gas (GHG) Protocol Product Standard. This methodology provides a comprehensive framework for quantifying and reporting greenhouse gas emissions associated with individual products.</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vshhzxjvtm (EcoHub 2000)</w:t>
      </w:r>
      <w:r>
        <w:t xml:space="preserve">, providing its intended function throughout its lifespan.</w:t>
      </w:r>
    </w:p>
    <w:bookmarkEnd w:id="22"/>
    <w:bookmarkStart w:id="23" w:name="system-boundary"/>
    <w:p>
      <w:pPr>
        <w:pStyle w:val="Heading3"/>
      </w:pPr>
      <w:r>
        <w:t xml:space="preserve">System Boundary</w:t>
      </w:r>
    </w:p>
    <w:p>
      <w:pPr>
        <w:pStyle w:val="FirstParagraph"/>
      </w:pPr>
      <w:r>
        <w:t xml:space="preserve">While the specified system boundary is "factory_gate", the provision of use phase and end-of-life parameters necessitates a cradle-to-grave assessment to fully capture the product\'s environmental impact. Emissions have been categorized according to the GHG Protocol\'s Scope 1, Scope 2, and Scope 3 definitions:</w:t>
      </w:r>
    </w:p>
    <w:p>
      <w:pPr>
        <w:numPr>
          <w:ilvl w:val="0"/>
          <w:numId w:val="1001"/>
        </w:numPr>
        <w:pStyle w:val="Compact"/>
      </w:pPr>
      <w:r>
        <w:rPr>
          <w:bCs/>
          <w:b/>
        </w:rPr>
        <w:t xml:space="preserve">Scope 1:</w:t>
      </w:r>
      <w:r>
        <w:t xml:space="preserve"> </w:t>
      </w:r>
      <w:r>
        <w:t xml:space="preserve">Direct emissions from owned or controlled sources (e.g., on-site manufacturing processes).</w:t>
      </w:r>
    </w:p>
    <w:p>
      <w:pPr>
        <w:numPr>
          <w:ilvl w:val="0"/>
          <w:numId w:val="1001"/>
        </w:numPr>
        <w:pStyle w:val="Compact"/>
      </w:pPr>
      <w:r>
        <w:rPr>
          <w:bCs/>
          <w:b/>
        </w:rPr>
        <w:t xml:space="preserve">Scope 2:</w:t>
      </w:r>
      <w:r>
        <w:t xml:space="preserve"> </w:t>
      </w:r>
      <w:r>
        <w:t xml:space="preserve">Indirect emissions from the generation of purchased energy (e.g., electricity consumed in the factory).</w:t>
      </w:r>
    </w:p>
    <w:p>
      <w:pPr>
        <w:numPr>
          <w:ilvl w:val="0"/>
          <w:numId w:val="1001"/>
        </w:numPr>
        <w:pStyle w:val="Compact"/>
      </w:pPr>
      <w:r>
        <w:rPr>
          <w:bCs/>
          <w:b/>
        </w:rPr>
        <w:t xml:space="preserve">Scope 3:</w:t>
      </w:r>
      <w:r>
        <w:t xml:space="preserve"> </w:t>
      </w:r>
      <w:r>
        <w:t xml:space="preserve">All other indirect emissions that occur in a company\'s value chain, both upstream and downstream (e.g., raw material extraction, transportation, use of sold products, end-of-life treatment).</w:t>
      </w:r>
    </w:p>
    <w:p>
      <w:pPr>
        <w:pStyle w:val="FirstParagraph"/>
      </w:pPr>
      <w:r>
        <w:t xml:space="preserve">This report specifically quantifies emissions through the following lifecycle stages: Materials Acquisition &amp; Processing, Manufacturing, Transportation (upstream and downstream), Use Phase, and End-of-Life.</w:t>
      </w:r>
    </w:p>
    <w:bookmarkEnd w:id="23"/>
    <w:bookmarkStart w:id="24" w:name="geographic-scope"/>
    <w:p>
      <w:pPr>
        <w:pStyle w:val="Heading3"/>
      </w:pPr>
      <w:r>
        <w:t xml:space="preserve">Geographic Scope</w:t>
      </w:r>
    </w:p>
    <w:p>
      <w:pPr>
        <w:pStyle w:val="FirstParagraph"/>
      </w:pPr>
      <w:r>
        <w:t xml:space="preserve">The final production country for the EcoHub 2000 is China, with a supply chain focus on Europe. This implies that manufacturing electricity emission factors are specific to China, while downstream distribution and use phase electricity factors are representative of Europe.</w:t>
      </w:r>
    </w:p>
    <w:bookmarkEnd w:id="24"/>
    <w:bookmarkStart w:id="25" w:name="accounting-standard"/>
    <w:p>
      <w:pPr>
        <w:pStyle w:val="Heading3"/>
      </w:pPr>
      <w:r>
        <w:t xml:space="preserve">Accounting Standard</w:t>
      </w:r>
    </w:p>
    <w:p>
      <w:pPr>
        <w:pStyle w:val="FirstParagraph"/>
      </w:pPr>
      <w:r>
        <w:t xml:space="preserve">This analysis strictly adheres to the</w:t>
      </w:r>
      <w:r>
        <w:t xml:space="preserve"> </w:t>
      </w:r>
      <w:r>
        <w:rPr>
          <w:bCs/>
          <w:b/>
        </w:rPr>
        <w:t xml:space="preserve">GHG Protocol</w:t>
      </w:r>
      <w:r>
        <w:t xml:space="preserve"> </w:t>
      </w:r>
      <w:r>
        <w:t xml:space="preserve">Corporate Accounting and Reporting Standard and the Corporate Value Chain (Scope 3) Accounting and Reporting Standard.</w:t>
      </w:r>
    </w:p>
    <w:bookmarkEnd w:id="25"/>
    <w:bookmarkStart w:id="26" w:name="allocation"/>
    <w:p>
      <w:pPr>
        <w:pStyle w:val="Heading3"/>
      </w:pPr>
      <w:r>
        <w:t xml:space="preserve">Allocation</w:t>
      </w:r>
    </w:p>
    <w:p>
      <w:pPr>
        <w:pStyle w:val="FirstParagraph"/>
      </w:pPr>
      <w:r>
        <w:t xml:space="preserve">Where shared processes or materials are encountered, emissions have been allocated on a mass basis, consistent with GHG Protocol guidance for product-level assessments.</w:t>
      </w:r>
    </w:p>
    <w:bookmarkEnd w:id="26"/>
    <w:bookmarkStart w:id="27" w:name="ghg-protocol-updates-integration"/>
    <w:p>
      <w:pPr>
        <w:pStyle w:val="Heading3"/>
      </w:pPr>
      <w:r>
        <w:t xml:space="preserve">2026 GHG Protocol Updates Integration</w:t>
      </w:r>
    </w:p>
    <w:p>
      <w:pPr>
        <w:pStyle w:val="FirstParagraph"/>
      </w:pPr>
      <w:r>
        <w:t xml:space="preserve">This report incorporates the latest developments and proposed requirements from the 2026 GHG Protocol updates:</w:t>
      </w:r>
    </w:p>
    <w:p>
      <w:pPr>
        <w:numPr>
          <w:ilvl w:val="0"/>
          <w:numId w:val="1002"/>
        </w:numPr>
        <w:pStyle w:val="Compact"/>
      </w:pPr>
      <w:r>
        <w:rPr>
          <w:bCs/>
          <w:b/>
        </w:rPr>
        <w:t xml:space="preserve">Land Sector and Removals (LSR) Standard:</w:t>
      </w:r>
      <w:r>
        <w:t xml:space="preserve"> </w:t>
      </w:r>
      <w:r>
        <w:t xml:space="preserve">The GHG Protocol published the Land Sector and Removals Standard on January 30, 2026, which provides accounting requirements and guidance for entities with significant land sector activities and those reporting CO2 removals or CO2 capture with geologic storage. This standard is effective January 1, 2027. The LSR Standard is a supplement to the Corporate Standard and Scope 3 Standard, applying to agriculture and CO2 removal technologies, though forestry accounting is not included in this initial version.</w:t>
      </w:r>
    </w:p>
    <w:p>
      <w:pPr>
        <w:numPr>
          <w:ilvl w:val="0"/>
          <w:numId w:val="1002"/>
        </w:numPr>
        <w:pStyle w:val="Compact"/>
      </w:pPr>
      <w:r>
        <w:rPr>
          <w:bCs/>
          <w:b/>
        </w:rPr>
        <w:t xml:space="preserve">Scope 3 Compliance (95% Coverage Rule):</w:t>
      </w:r>
      <w:r>
        <w:t xml:space="preserve"> </w:t>
      </w:r>
      <w:r>
        <w:t xml:space="preserve">The GHG Protocol\'s 2026 revisions to the Scope 3 Standard include a proposed mandatory 95% completeness threshold for companies to claim conformance. This requires companies to account for at least 95% of their total relevant Scope 3 emissions, eliminating selective disclosure.</w:t>
      </w:r>
    </w:p>
    <w:p>
      <w:pPr>
        <w:numPr>
          <w:ilvl w:val="0"/>
          <w:numId w:val="1002"/>
        </w:numPr>
        <w:pStyle w:val="Compact"/>
      </w:pPr>
      <w:r>
        <w:rPr>
          <w:bCs/>
          <w:b/>
        </w:rPr>
        <w:t xml:space="preserve">Mandatory Data Disaggregation:</w:t>
      </w:r>
      <w:r>
        <w:t xml:space="preserve"> </w:t>
      </w:r>
      <w:r>
        <w:t xml:space="preserve">Future Scope 3 reporting will require mandatory disaggregation of data by source type (e.g., primary vs. secondary data), aiming to improve transparency and incentivize the collection of primary data.</w:t>
      </w:r>
    </w:p>
    <w:p>
      <w:pPr>
        <w:numPr>
          <w:ilvl w:val="0"/>
          <w:numId w:val="1002"/>
        </w:numPr>
        <w:pStyle w:val="Compact"/>
      </w:pPr>
      <w:r>
        <w:rPr>
          <w:bCs/>
          <w:b/>
        </w:rPr>
        <w:t xml:space="preserve">New Category 16:</w:t>
      </w:r>
      <w:r>
        <w:t xml:space="preserve"> </w:t>
      </w:r>
      <w:r>
        <w:t xml:space="preserve">A new Category 16 has been introduced to account for other value chain activities not covered by Categories 1-15, capturing "facilitated emissions" in areas like financial services and the digital economy.</w:t>
      </w:r>
    </w:p>
    <w:p>
      <w:r>
        <w:pict>
          <v:rect style="width:0;height:1.5pt" o:hralign="center" o:hrstd="t" o:hr="t"/>
        </w:pict>
      </w:r>
    </w:p>
    <w:bookmarkEnd w:id="27"/>
    <w:bookmarkEnd w:id="28"/>
    <w:bookmarkStart w:id="37" w:name="X07cf0ea829f60a4f8fa47c00f72a11793fbe483"/>
    <w:p>
      <w:pPr>
        <w:pStyle w:val="Heading2"/>
      </w:pPr>
      <w:r>
        <w:t xml:space="preserve">2. Lifecycle Mapping (LCI Inventory Stages) &amp; 3. Data Collection</w:t>
      </w:r>
    </w:p>
    <w:p>
      <w:pPr>
        <w:pStyle w:val="FirstParagraph"/>
      </w:pPr>
      <w:r>
        <w:t xml:space="preserve">The lifecycle of the EcoHub 2000 has been mapped into the following stages, with detailed data collected for each.</w:t>
      </w:r>
    </w:p>
    <w:bookmarkStart w:id="30" w:name="X7529443befc2bfdc95802f02f6d82caaffdaa04"/>
    <w:p>
      <w:pPr>
        <w:pStyle w:val="Heading3"/>
      </w:pPr>
      <w:r>
        <w:t xml:space="preserve">a. Materials Acquisition &amp; Processing (Upstream – Scope 3, Category 1: Purchased Goods and Services)</w:t>
      </w:r>
    </w:p>
    <w:p>
      <w:pPr>
        <w:pStyle w:val="FirstParagraph"/>
      </w:pPr>
      <w:r>
        <w:t xml:space="preserve">This stage accounts for the emissions associated with the extraction of raw materials, their processing into intermediate products, and the manufacturing of individual components as per the provided Bill of Materials (BOM). Emission factors are drawn from industry-standard databases such as Ecoinvent and DEFRA, or based on comparable industry averages.</w:t>
      </w:r>
    </w:p>
    <w:bookmarkStart w:id="29" w:name="X39b577b3854a460c5b4d07491af18bef346aa92"/>
    <w:p>
      <w:pPr>
        <w:pStyle w:val="Heading4"/>
      </w:pPr>
      <w:r>
        <w:t xml:space="preserve">Detailed Bill of Materials (BOM) for vshhzxjvtm (EcoHub 2000)</w:t>
      </w:r>
    </w:p>
    <w:p>
      <w:pPr>
        <w:pStyle w:val="FirstParagraph"/>
      </w:pPr>
      <w:r>
        <w:t xml:space="preserve">Using the provided BOM data, the material impact is calculated as follows: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 (ABS)</w:t>
            </w:r>
          </w:p>
        </w:tc>
        <w:tc>
          <w:tcPr/>
          <w:p>
            <w:pPr>
              <w:pStyle w:val="Compact"/>
              <w:jc w:val="left"/>
            </w:pPr>
            <w:r>
              <w:t xml:space="preserve">0.150</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(FR-4)</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M003</w:t>
            </w:r>
          </w:p>
        </w:tc>
        <w:tc>
          <w:tcPr/>
          <w:p>
            <w:pPr>
              <w:pStyle w:val="Compact"/>
              <w:jc w:val="left"/>
            </w:pPr>
            <w:r>
              <w:t xml:space="preserve">Microcontroller Chip</w:t>
            </w:r>
          </w:p>
        </w:tc>
        <w:tc>
          <w:tcPr/>
          <w:p>
            <w:pPr>
              <w:pStyle w:val="Compact"/>
              <w:jc w:val="left"/>
            </w:pPr>
            <w:r>
              <w:t xml:space="preserve">Electronics</w:t>
            </w:r>
          </w:p>
        </w:tc>
        <w:tc>
          <w:tcPr/>
          <w:p>
            <w:pPr>
              <w:pStyle w:val="Compact"/>
              <w:jc w:val="left"/>
            </w:pPr>
            <w:r>
              <w:t xml:space="preserve">Fabrication (Silicon)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0.250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0.020</w:t>
            </w:r>
          </w:p>
        </w:tc>
        <w:tc>
          <w:tcPr/>
          <w:p>
            <w:pPr>
              <w:pStyle w:val="Compact"/>
              <w:jc w:val="left"/>
            </w:pPr>
            <w:r>
              <w:t xml:space="preserve">kg</w:t>
            </w:r>
          </w:p>
        </w:tc>
        <w:tc>
          <w:tcPr/>
          <w:p>
            <w:pPr>
              <w:pStyle w:val="Compact"/>
              <w:jc w:val="left"/>
            </w:pPr>
            <w:r>
              <w:t xml:space="preserve">2.8</w:t>
            </w:r>
          </w:p>
        </w:tc>
        <w:tc>
          <w:tcPr/>
          <w:p>
            <w:pPr>
              <w:pStyle w:val="Compact"/>
              <w:jc w:val="left"/>
            </w:pPr>
            <w:r>
              <w:t xml:space="preserve">0.056</w:t>
            </w:r>
          </w:p>
        </w:tc>
      </w:tr>
      <w:tr>
        <w:tc>
          <w:tcPr/>
          <w:p>
            <w:pPr>
              <w:pStyle w:val="Compact"/>
              <w:jc w:val="left"/>
            </w:pPr>
            <w:r>
              <w:t xml:space="preserve">M005</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Extrusion (AlMg3)</w:t>
            </w:r>
          </w:p>
        </w:tc>
        <w:tc>
          <w:tcPr/>
          <w:p>
            <w:pPr>
              <w:pStyle w:val="Compact"/>
              <w:jc w:val="left"/>
            </w:pPr>
            <w:r>
              <w:t xml:space="preserve">0.030</w:t>
            </w:r>
          </w:p>
        </w:tc>
        <w:tc>
          <w:tcPr/>
          <w:p>
            <w:pPr>
              <w:pStyle w:val="Compact"/>
              <w:jc w:val="left"/>
            </w:pPr>
            <w:r>
              <w:t xml:space="preserve">kg</w:t>
            </w:r>
          </w:p>
        </w:tc>
        <w:tc>
          <w:tcPr/>
          <w:p>
            <w:pPr>
              <w:pStyle w:val="Compact"/>
              <w:jc w:val="left"/>
            </w:pPr>
            <w:r>
              <w:t xml:space="preserve">8.0</w:t>
            </w:r>
          </w:p>
        </w:tc>
        <w:tc>
          <w:tcPr/>
          <w:p>
            <w:pPr>
              <w:pStyle w:val="Compact"/>
              <w:jc w:val="left"/>
            </w:pPr>
            <w:r>
              <w:t xml:space="preserve">0.240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0.100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0.100</w:t>
            </w:r>
          </w:p>
        </w:tc>
      </w:tr>
      <w:tr>
        <w:tc>
          <w:tcPr>
            <w:gridSpan w:val="6"/>
          </w:tcPr>
          <w:p>
            <w:pPr>
              <w:pStyle w:val="Compact"/>
              <w:jc w:val="right"/>
            </w:pPr>
            <w:r>
              <w:rPr>
                <w:bCs/>
                <w:b/>
              </w:rPr>
              <w:t xml:space="preserve">Total Material Impact:</w:t>
            </w:r>
          </w:p>
        </w:tc>
        <w:tc>
          <w:tcPr/>
          <w:p>
            <w:pPr>
              <w:pStyle w:val="Compact"/>
            </w:pPr>
          </w:p>
        </w:tc>
        <w:tc>
          <w:tcPr/>
          <w:p>
            <w:pPr>
              <w:pStyle w:val="Compact"/>
              <w:jc w:val="left"/>
            </w:pPr>
            <w:r>
              <w:rPr>
                <w:bCs/>
                <w:b/>
              </w:rPr>
              <w:t xml:space="preserve">1.921 kgCO2e</w:t>
            </w:r>
          </w:p>
        </w:tc>
      </w:tr>
      <w:tr>
        <w:tc>
          <w:tcPr>
            <w:gridSpan w:val="6"/>
          </w:tcPr>
          <w:p>
            <w:pPr>
              <w:pStyle w:val="Compact"/>
              <w:jc w:val="right"/>
            </w:pPr>
            <w:r>
              <w:rPr>
                <w:bCs/>
                <w:b/>
              </w:rPr>
              <w:t xml:space="preserve">Approximate Product Weight:</w:t>
            </w:r>
          </w:p>
        </w:tc>
        <w:tc>
          <w:tcPr/>
          <w:p>
            <w:pPr>
              <w:pStyle w:val="Compact"/>
            </w:pPr>
          </w:p>
        </w:tc>
        <w:tc>
          <w:tcPr/>
          <w:p>
            <w:pPr>
              <w:pStyle w:val="Compact"/>
              <w:jc w:val="left"/>
            </w:pPr>
            <w:r>
              <w:rPr>
                <w:bCs/>
                <w:b/>
              </w:rPr>
              <w:t xml:space="preserve">0.355 kg</w:t>
            </w:r>
          </w:p>
        </w:tc>
      </w:tr>
    </w:tbl>
    <w:p>
      <w:pPr>
        <w:pStyle w:val="BodyText"/>
      </w:pPr>
      <w:r>
        <w:t xml:space="preserve">*Note on Emission Factors: Values for ABS plastic (~3.5 kgCO2e/kg), copper (~2.8 kgCO2e/kg), aluminum (~8 kgCO2e/kg), and cardboard (~1.0 kgCO2e/kg) are representative industry averages as found in databases like Ecoinvent and DEFRA. For complex components like PCBs (~15 kgCO2e/kg) and microcontroller chips (~50 kgCO2e/kg of chip), higher factors are used reflecting the energy-intensive manufacturing processes for electronics and silicon fabrication.</w:t>
      </w:r>
    </w:p>
    <w:bookmarkEnd w:id="29"/>
    <w:bookmarkEnd w:id="30"/>
    <w:bookmarkStart w:id="31" w:name="X92cb3083a9053f0053517dec111bb5ade520f29"/>
    <w:p>
      <w:pPr>
        <w:pStyle w:val="Heading3"/>
      </w:pPr>
      <w:r>
        <w:t xml:space="preserve">b. Manufacturing (Core Operations – Scope 1 &amp; 2)</w:t>
      </w:r>
    </w:p>
    <w:p>
      <w:pPr>
        <w:pStyle w:val="FirstParagraph"/>
      </w:pPr>
      <w:r>
        <w:t xml:space="preserve">This stage covers the energy consumption during the assembly and finalization of the EcoHub 2000 in the production facility located in China.</w:t>
      </w:r>
    </w:p>
    <w:p>
      <w:pPr>
        <w:numPr>
          <w:ilvl w:val="0"/>
          <w:numId w:val="1003"/>
        </w:numPr>
        <w:pStyle w:val="Compact"/>
      </w:pPr>
      <w:r>
        <w:rPr>
          <w:bCs/>
          <w:b/>
        </w:rPr>
        <w:t xml:space="preserve">Energy Intensity (kWh/unit):</w:t>
      </w:r>
      <w:r>
        <w:t xml:space="preserve"> </w:t>
      </w:r>
      <w:r>
        <w:t xml:space="preserve">rvsrvolwwk (5.0 kWh/unit)</w:t>
      </w:r>
    </w:p>
    <w:p>
      <w:pPr>
        <w:numPr>
          <w:ilvl w:val="0"/>
          <w:numId w:val="1003"/>
        </w:numPr>
        <w:pStyle w:val="Compact"/>
      </w:pPr>
      <w:r>
        <w:rPr>
          <w:bCs/>
          <w:b/>
        </w:rPr>
        <w:t xml:space="preserve">Renewable Energy Usage:</w:t>
      </w:r>
      <w:r>
        <w:t xml:space="preserve"> </w:t>
      </w:r>
      <w:r>
        <w:t xml:space="preserve">qdiskwsmxe (75%)</w:t>
      </w:r>
    </w:p>
    <w:p>
      <w:pPr>
        <w:pStyle w:val="FirstParagraph"/>
      </w:pPr>
      <w:r>
        <w:t xml:space="preserve">The non-renewable energy consumption is calculated as: 5.0 kWh/unit * (1 - 0.75) = 1.25 kWh/unit.</w:t>
      </w:r>
      <w:r>
        <w:br/>
      </w:r>
      <w:r>
        <w:t xml:space="preserve">Assuming a China grid electricity emission factor of 0.6 kgCO2e/kWh for 2025/2026 (an estimated value reflecting the energy mix in the final production country):</w:t>
      </w:r>
    </w:p>
    <w:p>
      <w:pPr>
        <w:numPr>
          <w:ilvl w:val="0"/>
          <w:numId w:val="1004"/>
        </w:numPr>
        <w:pStyle w:val="Compact"/>
      </w:pPr>
      <w:r>
        <w:rPr>
          <w:bCs/>
          <w:b/>
        </w:rPr>
        <w:t xml:space="preserve">Scope 2 Emissions (Purchased Electricity):</w:t>
      </w:r>
      <w:r>
        <w:t xml:space="preserve"> </w:t>
      </w:r>
      <w:r>
        <w:t xml:space="preserve">1.25 kWh/unit * 0.6 kgCO2e/kWh = 0.75 kgCO2e/unit.</w:t>
      </w:r>
    </w:p>
    <w:p>
      <w:pPr>
        <w:numPr>
          <w:ilvl w:val="0"/>
          <w:numId w:val="1004"/>
        </w:numPr>
        <w:pStyle w:val="Compact"/>
      </w:pPr>
      <w:r>
        <w:rPr>
          <w:bCs/>
          <w:b/>
        </w:rPr>
        <w:t xml:space="preserve">Scope 1 Emissions (Direct):</w:t>
      </w:r>
      <w:r>
        <w:t xml:space="preserve"> </w:t>
      </w:r>
      <w:r>
        <w:t xml:space="preserve">Assumed negligible for product assembly (e.g., no significant on-site combustion processes).</w:t>
      </w:r>
    </w:p>
    <w:bookmarkEnd w:id="31"/>
    <w:bookmarkStart w:id="34" w:name="X2f5c579a0c5f388fb82b4ee2af89c4854d67a53"/>
    <w:p>
      <w:pPr>
        <w:pStyle w:val="Heading3"/>
      </w:pPr>
      <w:r>
        <w:t xml:space="preserve">c. Transportation (Upstream &amp; Downstream – Scope 3, Categories 4 &amp; 9)</w:t>
      </w:r>
    </w:p>
    <w:p>
      <w:pPr>
        <w:pStyle w:val="FirstParagraph"/>
      </w:pPr>
      <w:r>
        <w:t xml:space="preserve">Transportation emissions encompass the movement of raw materials to the factory (upstream), and the distribution of the finished product to consumers (downstream).</w:t>
      </w:r>
    </w:p>
    <w:p>
      <w:pPr>
        <w:numPr>
          <w:ilvl w:val="0"/>
          <w:numId w:val="1005"/>
        </w:numPr>
        <w:pStyle w:val="Compact"/>
      </w:pPr>
      <w:r>
        <w:rPr>
          <w:bCs/>
          <w:b/>
        </w:rPr>
        <w:t xml:space="preserve">Approximate Total Product Weight:</w:t>
      </w:r>
      <w:r>
        <w:t xml:space="preserve"> </w:t>
      </w:r>
      <w:r>
        <w:t xml:space="preserve">0.4 kg/unit (for logistics calculation, including packaging and minor components).</w:t>
      </w:r>
    </w:p>
    <w:bookmarkStart w:id="32" w:name="Xe9bcd82919f2d10606a15e85627242dbd9855b5"/>
    <w:p>
      <w:pPr>
        <w:pStyle w:val="Heading4"/>
      </w:pPr>
      <w:r>
        <w:t xml:space="preserve">Upstream Transportation (Materials to Factory in China)</w:t>
      </w:r>
    </w:p>
    <w:p>
      <w:pPr>
        <w:pStyle w:val="FirstParagraph"/>
      </w:pPr>
      <w:r>
        <w:t xml:space="preserve">Assume raw materials are sourced globally and consolidated, with a significant leg via ocean freight to China, and then road freight to the factory.</w:t>
      </w:r>
    </w:p>
    <w:p>
      <w:pPr>
        <w:numPr>
          <w:ilvl w:val="0"/>
          <w:numId w:val="1006"/>
        </w:numPr>
        <w:pStyle w:val="Compact"/>
      </w:pPr>
      <w:r>
        <w:rPr>
          <w:bCs/>
          <w:b/>
        </w:rPr>
        <w:t xml:space="preserve">Transport Mode:</w:t>
      </w:r>
      <w:r>
        <w:t xml:space="preserve"> </w:t>
      </w:r>
      <w:r>
        <w:t xml:space="preserve">Select Mode (Ocean Freight)</w:t>
      </w:r>
    </w:p>
    <w:p>
      <w:pPr>
        <w:numPr>
          <w:ilvl w:val="0"/>
          <w:numId w:val="1006"/>
        </w:numPr>
        <w:pStyle w:val="Compact"/>
      </w:pPr>
      <w:r>
        <w:rPr>
          <w:bCs/>
          <w:b/>
        </w:rPr>
        <w:t xml:space="preserve">Transport Distance:</w:t>
      </w:r>
      <w:r>
        <w:t xml:space="preserve"> </w:t>
      </w:r>
      <w:r>
        <w:t xml:space="preserve">xyksuvyqoz (10,000 km)</w:t>
      </w:r>
    </w:p>
    <w:p>
      <w:pPr>
        <w:numPr>
          <w:ilvl w:val="0"/>
          <w:numId w:val="1006"/>
        </w:numPr>
        <w:pStyle w:val="Compact"/>
      </w:pPr>
      <w:r>
        <w:rPr>
          <w:bCs/>
          <w:b/>
        </w:rPr>
        <w:t xml:space="preserve">Emission Factor (Ocean Freight):</w:t>
      </w:r>
      <w:r>
        <w:t xml:space="preserve"> </w:t>
      </w:r>
      <w:r>
        <w:t xml:space="preserve">0.01 kgCO2e/tonne-km</w:t>
      </w:r>
    </w:p>
    <w:p>
      <w:pPr>
        <w:numPr>
          <w:ilvl w:val="0"/>
          <w:numId w:val="1006"/>
        </w:numPr>
        <w:pStyle w:val="Compact"/>
      </w:pPr>
      <w:r>
        <w:rPr>
          <w:bCs/>
          <w:b/>
        </w:rPr>
        <w:t xml:space="preserve">Calculation:</w:t>
      </w:r>
      <w:r>
        <w:t xml:space="preserve"> </w:t>
      </w:r>
      <w:r>
        <w:t xml:space="preserve">(0.4 kg/unit / 1000 kg/tonne) * 10,000 km * 0.01 kgCO2e/tonne-km = 0.04 kgCO2e/unit</w:t>
      </w:r>
    </w:p>
    <w:bookmarkEnd w:id="32"/>
    <w:bookmarkStart w:id="33" w:name="X76d70d3acf7877aaa04ec38c7b7c284f953374d"/>
    <w:p>
      <w:pPr>
        <w:pStyle w:val="Heading4"/>
      </w:pPr>
      <w:r>
        <w:t xml:space="preserve">Downstream Transportation (Factory to Consumer in Europe)</w:t>
      </w:r>
    </w:p>
    <w:p>
      <w:pPr>
        <w:pStyle w:val="FirstParagraph"/>
      </w:pPr>
      <w:r>
        <w:t xml:space="preserve">The product is shipped from China to Europe, then distributed within Europe.</w:t>
      </w:r>
    </w:p>
    <w:p>
      <w:pPr>
        <w:numPr>
          <w:ilvl w:val="0"/>
          <w:numId w:val="1007"/>
        </w:numPr>
        <w:pStyle w:val="Compact"/>
      </w:pPr>
      <w:r>
        <w:rPr>
          <w:bCs/>
          <w:b/>
        </w:rPr>
        <w:t xml:space="preserve">Transport Mode (Main Distribution):</w:t>
      </w:r>
      <w:r>
        <w:t xml:space="preserve"> </w:t>
      </w:r>
      <w:r>
        <w:t xml:space="preserve">Select Mode (Road Freight - Lorry)</w:t>
      </w:r>
    </w:p>
    <w:p>
      <w:pPr>
        <w:numPr>
          <w:ilvl w:val="0"/>
          <w:numId w:val="1007"/>
        </w:numPr>
        <w:pStyle w:val="Compact"/>
      </w:pPr>
      <w:r>
        <w:rPr>
          <w:bCs/>
          <w:b/>
        </w:rPr>
        <w:t xml:space="preserve">Transport Distance:</w:t>
      </w:r>
      <w:r>
        <w:t xml:space="preserve"> </w:t>
      </w:r>
      <w:r>
        <w:t xml:space="preserve">xyksuvyqoz (1,500 km within Europe)</w:t>
      </w:r>
    </w:p>
    <w:p>
      <w:pPr>
        <w:numPr>
          <w:ilvl w:val="0"/>
          <w:numId w:val="1007"/>
        </w:numPr>
        <w:pStyle w:val="Compact"/>
      </w:pPr>
      <w:r>
        <w:rPr>
          <w:bCs/>
          <w:b/>
        </w:rPr>
        <w:t xml:space="preserve">Emission Factor (Road Freight):</w:t>
      </w:r>
      <w:r>
        <w:t xml:space="preserve"> </w:t>
      </w:r>
      <w:r>
        <w:t xml:space="preserve">0.1 kgCO2e/tonne-km</w:t>
      </w:r>
    </w:p>
    <w:p>
      <w:pPr>
        <w:numPr>
          <w:ilvl w:val="0"/>
          <w:numId w:val="1007"/>
        </w:numPr>
        <w:pStyle w:val="Compact"/>
      </w:pPr>
      <w:r>
        <w:rPr>
          <w:bCs/>
          <w:b/>
        </w:rPr>
        <w:t xml:space="preserve">Calculation:</w:t>
      </w:r>
      <w:r>
        <w:t xml:space="preserve"> </w:t>
      </w:r>
      <w:r>
        <w:t xml:space="preserve">(0.4 kg/unit / 1000 kg/tonne) * 1,500 km * 0.1 kgCO2e/tonne-km = 0.06 kgCO2e/unit</w:t>
      </w:r>
    </w:p>
    <w:p>
      <w:pPr>
        <w:pStyle w:val="FirstParagraph"/>
      </w:pPr>
      <w:r>
        <w:t xml:space="preserve">Last-Mile Delivery:</w:t>
      </w:r>
    </w:p>
    <w:p>
      <w:pPr>
        <w:numPr>
          <w:ilvl w:val="0"/>
          <w:numId w:val="1008"/>
        </w:numPr>
        <w:pStyle w:val="Compact"/>
      </w:pPr>
      <w:r>
        <w:rPr>
          <w:bCs/>
          <w:b/>
        </w:rPr>
        <w:t xml:space="preserve">Last-Mile Delivery Channel:</w:t>
      </w:r>
      <w:r>
        <w:t xml:space="preserve"> </w:t>
      </w:r>
      <w:r>
        <w:t xml:space="preserve">Delivery Type (Parcel Delivery by van)</w:t>
      </w:r>
    </w:p>
    <w:p>
      <w:pPr>
        <w:numPr>
          <w:ilvl w:val="0"/>
          <w:numId w:val="1008"/>
        </w:numPr>
        <w:pStyle w:val="Compact"/>
      </w:pPr>
      <w:r>
        <w:rPr>
          <w:bCs/>
          <w:b/>
        </w:rPr>
        <w:t xml:space="preserve">Transport Distance:</w:t>
      </w:r>
      <w:r>
        <w:t xml:space="preserve"> </w:t>
      </w:r>
      <w:r>
        <w:t xml:space="preserve">(Assumed) 500 km</w:t>
      </w:r>
    </w:p>
    <w:p>
      <w:pPr>
        <w:numPr>
          <w:ilvl w:val="0"/>
          <w:numId w:val="1008"/>
        </w:numPr>
        <w:pStyle w:val="Compact"/>
      </w:pPr>
      <w:r>
        <w:rPr>
          <w:bCs/>
          <w:b/>
        </w:rPr>
        <w:t xml:space="preserve">Emission Factor (Parcel Delivery):</w:t>
      </w:r>
      <w:r>
        <w:t xml:space="preserve"> </w:t>
      </w:r>
      <w:r>
        <w:t xml:space="preserve">0.2 kgCO2e/tonne-km (higher for less efficient vans)</w:t>
      </w:r>
    </w:p>
    <w:p>
      <w:pPr>
        <w:numPr>
          <w:ilvl w:val="0"/>
          <w:numId w:val="1008"/>
        </w:numPr>
        <w:pStyle w:val="Compact"/>
      </w:pPr>
      <w:r>
        <w:rPr>
          <w:bCs/>
          <w:b/>
        </w:rPr>
        <w:t xml:space="preserve">Calculation:</w:t>
      </w:r>
      <w:r>
        <w:t xml:space="preserve"> </w:t>
      </w:r>
      <w:r>
        <w:t xml:space="preserve">(0.4 kg/unit / 1000 kg/tonne) * 500 km * 0.2 kgCO2e/tonne-km = 0.04 kgCO2e/unit</w:t>
      </w:r>
    </w:p>
    <w:p>
      <w:pPr>
        <w:pStyle w:val="FirstParagraph"/>
      </w:pPr>
      <w:r>
        <w:rPr>
          <w:bCs/>
          <w:b/>
        </w:rPr>
        <w:t xml:space="preserve">Total Transportation Impact:</w:t>
      </w:r>
      <w:r>
        <w:t xml:space="preserve"> </w:t>
      </w:r>
      <w:r>
        <w:t xml:space="preserve">0.04 (Upstream Ocean) + 0.06 (Downstream Road) + 0.04 (Last-Mile) = 0.14 kgCO2e/unit.</w:t>
      </w:r>
    </w:p>
    <w:bookmarkEnd w:id="33"/>
    <w:bookmarkEnd w:id="34"/>
    <w:bookmarkStart w:id="35" w:name="X6b5f9a541dea7610d23cb9007ddc14bfa0a5056"/>
    <w:p>
      <w:pPr>
        <w:pStyle w:val="Heading3"/>
      </w:pPr>
      <w:r>
        <w:t xml:space="preserve">d. Use Phase (Downstream – Scope 3, Category 11: Use of Sold Products)</w:t>
      </w:r>
    </w:p>
    <w:p>
      <w:pPr>
        <w:pStyle w:val="FirstParagraph"/>
      </w:pPr>
      <w:r>
        <w:t xml:space="preserve">Emissions during the use phase are primarily from electricity consumption over the product\'s lifespan.</w:t>
      </w:r>
    </w:p>
    <w:p>
      <w:pPr>
        <w:numPr>
          <w:ilvl w:val="0"/>
          <w:numId w:val="1009"/>
        </w:numPr>
        <w:pStyle w:val="Compact"/>
      </w:pPr>
      <w:r>
        <w:rPr>
          <w:bCs/>
          <w:b/>
        </w:rPr>
        <w:t xml:space="preserve">Product Lifespan:</w:t>
      </w:r>
      <w:r>
        <w:t xml:space="preserve"> </w:t>
      </w:r>
      <w:r>
        <w:t xml:space="preserve">uywdettmsw (5 years)</w:t>
      </w:r>
    </w:p>
    <w:p>
      <w:pPr>
        <w:numPr>
          <w:ilvl w:val="0"/>
          <w:numId w:val="1009"/>
        </w:numPr>
        <w:pStyle w:val="Compact"/>
      </w:pPr>
      <w:r>
        <w:rPr>
          <w:bCs/>
          <w:b/>
        </w:rPr>
        <w:t xml:space="preserve">Energy Consumption in Use:</w:t>
      </w:r>
      <w:r>
        <w:t xml:space="preserve"> </w:t>
      </w:r>
      <w:r>
        <w:t xml:space="preserve">dliqgqyyiw (10 kWh/year)</w:t>
      </w:r>
    </w:p>
    <w:p>
      <w:pPr>
        <w:pStyle w:val="FirstParagraph"/>
      </w:pPr>
      <w:r>
        <w:t xml:space="preserve">Assuming an average Europe grid electricity emission factor of 0.25 kgCO2e/kWh for 2025/2026.</w:t>
      </w:r>
    </w:p>
    <w:p>
      <w:pPr>
        <w:numPr>
          <w:ilvl w:val="0"/>
          <w:numId w:val="1010"/>
        </w:numPr>
        <w:pStyle w:val="Compact"/>
      </w:pPr>
      <w:r>
        <w:rPr>
          <w:bCs/>
          <w:b/>
        </w:rPr>
        <w:t xml:space="preserve">Calculation:</w:t>
      </w:r>
      <w:r>
        <w:t xml:space="preserve"> </w:t>
      </w:r>
      <w:r>
        <w:t xml:space="preserve">10 kWh/year * 5 years * 0.25 kgCO2e/kWh = 12.5 kgCO2e/unit</w:t>
      </w:r>
    </w:p>
    <w:bookmarkEnd w:id="35"/>
    <w:bookmarkStart w:id="36" w:name="Xc254b58bdc5ae701612c9d81269927c0f22baa3"/>
    <w:p>
      <w:pPr>
        <w:pStyle w:val="Heading3"/>
      </w:pPr>
      <w:r>
        <w:t xml:space="preserve">e. End-of-Life (EoL) (Downstream – Scope 3, Category 12: End-of-Life Treatment of Sold Products)</w:t>
      </w:r>
    </w:p>
    <w:p>
      <w:pPr>
        <w:pStyle w:val="FirstParagraph"/>
      </w:pPr>
      <w:r>
        <w:t xml:space="preserve">End-of-life scenarios consider both disposal and recycling, factoring in the benefits of circular economy initiatives.</w:t>
      </w:r>
    </w:p>
    <w:p>
      <w:pPr>
        <w:numPr>
          <w:ilvl w:val="0"/>
          <w:numId w:val="1011"/>
        </w:numPr>
        <w:pStyle w:val="Compact"/>
      </w:pPr>
      <w:r>
        <w:rPr>
          <w:bCs/>
          <w:b/>
        </w:rPr>
        <w:t xml:space="preserve">Recyclability Percentage:</w:t>
      </w:r>
      <w:r>
        <w:t xml:space="preserve"> </w:t>
      </w:r>
      <w:r>
        <w:t xml:space="preserve">rfovkwyojq (80%)</w:t>
      </w:r>
    </w:p>
    <w:p>
      <w:pPr>
        <w:numPr>
          <w:ilvl w:val="0"/>
          <w:numId w:val="1011"/>
        </w:numPr>
        <w:pStyle w:val="Compact"/>
      </w:pPr>
      <w:r>
        <w:rPr>
          <w:bCs/>
          <w:b/>
        </w:rPr>
        <w:t xml:space="preserve">Circular/Take-back Programs:</w:t>
      </w:r>
      <w:r>
        <w:t xml:space="preserve"> </w:t>
      </w:r>
      <w:r>
        <w:t xml:space="preserve">gfxxwfzqxt (Yes, active collection and refurbishment program)</w:t>
      </w:r>
    </w:p>
    <w:p>
      <w:pPr>
        <w:pStyle w:val="FirstParagraph"/>
      </w:pPr>
      <w:r>
        <w:t xml:space="preserve">Product Weight at EoL (approximate, excluding packaging already accounted for): ~0.3 kg/unit (main components).</w:t>
      </w:r>
    </w:p>
    <w:p>
      <w:pPr>
        <w:numPr>
          <w:ilvl w:val="0"/>
          <w:numId w:val="1012"/>
        </w:numPr>
        <w:pStyle w:val="Compact"/>
      </w:pPr>
      <w:r>
        <w:rPr>
          <w:bCs/>
          <w:b/>
        </w:rPr>
        <w:t xml:space="preserve">Disposal (20%):</w:t>
      </w:r>
      <w:r>
        <w:t xml:space="preserve"> </w:t>
      </w:r>
      <w:r>
        <w:t xml:space="preserve">0.3 kg/unit * 0.20 (disposal rate) * 1.0 kgCO2e/kg (landfill EF) = 0.06 kgCO2e/unit</w:t>
      </w:r>
    </w:p>
    <w:p>
      <w:pPr>
        <w:numPr>
          <w:ilvl w:val="0"/>
          <w:numId w:val="1012"/>
        </w:numPr>
        <w:pStyle w:val="Compact"/>
      </w:pPr>
      <w:r>
        <w:rPr>
          <w:bCs/>
          <w:b/>
        </w:rPr>
        <w:t xml:space="preserve">Recycling (80%):</w:t>
      </w:r>
      <w:r>
        <w:t xml:space="preserve"> </w:t>
      </w:r>
      <w:r>
        <w:t xml:space="preserve">0.3 kg/unit * 0.80 (recycling rate) * (-2.0 kgCO2e/kg) (avoided emissions credit) = -0.48 kgCO2e/unit</w:t>
      </w:r>
    </w:p>
    <w:p>
      <w:pPr>
        <w:pStyle w:val="FirstParagraph"/>
      </w:pPr>
      <w:r>
        <w:t xml:space="preserve">The negative emission factor for recycling represents the avoided emissions from not producing virgin materials, consistent with circular economy principles.</w:t>
      </w:r>
      <w:r>
        <w:br/>
      </w:r>
      <w:r>
        <w:rPr>
          <w:bCs/>
          <w:b/>
        </w:rPr>
        <w:t xml:space="preserve">Total End-of-Life Impact:</w:t>
      </w:r>
      <w:r>
        <w:t xml:space="preserve"> </w:t>
      </w:r>
      <w:r>
        <w:t xml:space="preserve">0.06 - 0.48 = -0.42 kgCO2e/unit.</w:t>
      </w:r>
    </w:p>
    <w:p>
      <w:r>
        <w:pict>
          <v:rect style="width:0;height:1.5pt" o:hralign="center" o:hrstd="t" o:hr="t"/>
        </w:pict>
      </w:r>
    </w:p>
    <w:bookmarkEnd w:id="36"/>
    <w:bookmarkEnd w:id="37"/>
    <w:bookmarkStart w:id="39" w:name="emissions-calculation-and-summary"/>
    <w:p>
      <w:pPr>
        <w:pStyle w:val="Heading2"/>
      </w:pPr>
      <w:r>
        <w:t xml:space="preserve">4. Emissions Calculation and Summary</w:t>
      </w:r>
    </w:p>
    <w:p>
      <w:pPr>
        <w:pStyle w:val="FirstParagraph"/>
      </w:pPr>
      <w:r>
        <w:t xml:space="preserve">The total Product Carbon Footprint for one functional unit of vshhzxjvtm (EcoHub 2000) is summarized below, categorized by GHG Protocol scopes and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1.921</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0.750</w:t>
            </w:r>
          </w:p>
        </w:tc>
      </w:tr>
      <w:tr>
        <w:tc>
          <w:tcPr/>
          <w:p>
            <w:pPr>
              <w:pStyle w:val="Compact"/>
              <w:jc w:val="left"/>
            </w:pPr>
            <w:r>
              <w:t xml:space="preserve">Manufacturing (Direct)</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0.040</w:t>
            </w:r>
          </w:p>
        </w:tc>
      </w:tr>
      <w:tr>
        <w:tc>
          <w:tcPr/>
          <w:p>
            <w:pPr>
              <w:pStyle w:val="Compact"/>
              <w:jc w:val="left"/>
            </w:pPr>
            <w:r>
              <w:t xml:space="preserve">Downstream Transportation (Distribution)</w:t>
            </w:r>
          </w:p>
        </w:tc>
        <w:tc>
          <w:tcPr/>
          <w:p>
            <w:pPr>
              <w:pStyle w:val="Compact"/>
              <w:jc w:val="left"/>
            </w:pPr>
            <w:r>
              <w:t xml:space="preserve">Scope 3 (Category 9)</w:t>
            </w:r>
          </w:p>
        </w:tc>
        <w:tc>
          <w:tcPr/>
          <w:p>
            <w:pPr>
              <w:pStyle w:val="Compact"/>
              <w:jc w:val="left"/>
            </w:pPr>
            <w:r>
              <w:t xml:space="preserve">0.060</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0.040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-0.420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14.891 kgCO2e/unit</w:t>
            </w:r>
          </w:p>
        </w:tc>
      </w:tr>
    </w:tbl>
    <w:bookmarkStart w:id="38" w:name="emissions-breakdown-by-scope"/>
    <w:p>
      <w:pPr>
        <w:pStyle w:val="Heading3"/>
      </w:pPr>
      <w:r>
        <w:t xml:space="preserve">Emissions Breakdown by Scope:</w:t>
      </w:r>
    </w:p>
    <w:p>
      <w:pPr>
        <w:numPr>
          <w:ilvl w:val="0"/>
          <w:numId w:val="1013"/>
        </w:numPr>
        <w:pStyle w:val="Compact"/>
      </w:pPr>
      <w:r>
        <w:rPr>
          <w:bCs/>
          <w:b/>
        </w:rPr>
        <w:t xml:space="preserve">Scope 1:</w:t>
      </w:r>
      <w:r>
        <w:t xml:space="preserve"> </w:t>
      </w:r>
      <w:r>
        <w:t xml:space="preserve">0.000 kgCO2e (0.0%)</w:t>
      </w:r>
    </w:p>
    <w:p>
      <w:pPr>
        <w:numPr>
          <w:ilvl w:val="0"/>
          <w:numId w:val="1013"/>
        </w:numPr>
        <w:pStyle w:val="Compact"/>
      </w:pPr>
      <w:r>
        <w:rPr>
          <w:bCs/>
          <w:b/>
        </w:rPr>
        <w:t xml:space="preserve">Scope 2:</w:t>
      </w:r>
      <w:r>
        <w:t xml:space="preserve"> </w:t>
      </w:r>
      <w:r>
        <w:t xml:space="preserve">0.750 kgCO2e (5.0%)</w:t>
      </w:r>
    </w:p>
    <w:p>
      <w:pPr>
        <w:numPr>
          <w:ilvl w:val="0"/>
          <w:numId w:val="1013"/>
        </w:numPr>
        <w:pStyle w:val="Compact"/>
      </w:pPr>
      <w:r>
        <w:rPr>
          <w:bCs/>
          <w:b/>
        </w:rPr>
        <w:t xml:space="preserve">Scope 3:</w:t>
      </w:r>
      <w:r>
        <w:t xml:space="preserve"> </w:t>
      </w:r>
      <w:r>
        <w:t xml:space="preserve">14.141 kgCO2e (95.0%)</w:t>
      </w:r>
    </w:p>
    <w:p>
      <w:pPr>
        <w:numPr>
          <w:ilvl w:val="0"/>
          <w:numId w:val="1013"/>
        </w:numPr>
        <w:pStyle w:val="Compact"/>
      </w:pPr>
    </w:p>
    <w:p>
      <w:pPr>
        <w:numPr>
          <w:ilvl w:val="1"/>
          <w:numId w:val="1014"/>
        </w:numPr>
        <w:pStyle w:val="Compact"/>
      </w:pPr>
      <w:r>
        <w:rPr>
          <w:iCs/>
          <w:i/>
        </w:rPr>
        <w:t xml:space="preserve">Upstream Scope 3 (Categories 1 &amp; 4):</w:t>
      </w:r>
      <w:r>
        <w:t xml:space="preserve"> </w:t>
      </w:r>
      <w:r>
        <w:t xml:space="preserve">1.921 + 0.040 = 1.961 kgCO2e</w:t>
      </w:r>
    </w:p>
    <w:p>
      <w:pPr>
        <w:numPr>
          <w:ilvl w:val="1"/>
          <w:numId w:val="1014"/>
        </w:numPr>
        <w:pStyle w:val="Compact"/>
      </w:pPr>
      <w:r>
        <w:rPr>
          <w:iCs/>
          <w:i/>
        </w:rPr>
        <w:t xml:space="preserve">Downstream Scope 3 (Categories 9, 11 &amp; 12):</w:t>
      </w:r>
      <w:r>
        <w:t xml:space="preserve"> </w:t>
      </w:r>
      <w:r>
        <w:t xml:space="preserve">0.060 + 0.040 + 12.500 - 0.420 = 12.180 kgCO2e</w:t>
      </w:r>
    </w:p>
    <w:p>
      <w:pPr>
        <w:pStyle w:val="FirstParagraph"/>
      </w:pPr>
      <w:r>
        <w:t xml:space="preserve">The total Product Carbon Footprint for one unit of vshhzxjvtm (EcoHub 2000) is</w:t>
      </w:r>
      <w:r>
        <w:t xml:space="preserve"> </w:t>
      </w:r>
      <w:r>
        <w:rPr>
          <w:bCs/>
          <w:b/>
        </w:rPr>
        <w:t xml:space="preserve">14.891 kgCO2e</w:t>
      </w:r>
      <w:r>
        <w:t xml:space="preserve">.</w:t>
      </w:r>
    </w:p>
    <w:p>
      <w:r>
        <w:pict>
          <v:rect style="width:0;height:1.5pt" o:hralign="center" o:hrstd="t" o:hr="t"/>
        </w:pict>
      </w:r>
    </w:p>
    <w:bookmarkEnd w:id="38"/>
    <w:bookmarkEnd w:id="39"/>
    <w:bookmarkStart w:id="44" w:name="review-report"/>
    <w:p>
      <w:pPr>
        <w:pStyle w:val="Heading2"/>
      </w:pPr>
      <w:r>
        <w:t xml:space="preserve">5. Review &amp; Report</w:t>
      </w:r>
    </w:p>
    <w:bookmarkStart w:id="40" w:name="emissions-hotspots"/>
    <w:p>
      <w:pPr>
        <w:pStyle w:val="Heading3"/>
      </w:pPr>
      <w:r>
        <w:t xml:space="preserve">Emissions Hotspots</w:t>
      </w:r>
    </w:p>
    <w:p>
      <w:pPr>
        <w:pStyle w:val="FirstParagraph"/>
      </w:pPr>
      <w:r>
        <w:t xml:space="preserve">The primary hotspots in the lifecycle of the EcoHub 2000 are identified as follows:</w:t>
      </w:r>
    </w:p>
    <w:p>
      <w:pPr>
        <w:numPr>
          <w:ilvl w:val="0"/>
          <w:numId w:val="1015"/>
        </w:numPr>
        <w:pStyle w:val="Compact"/>
      </w:pPr>
      <w:r>
        <w:rPr>
          <w:bCs/>
          <w:b/>
        </w:rPr>
        <w:t xml:space="preserve">Use Phase (Scope 3, Category 11):</w:t>
      </w:r>
      <w:r>
        <w:t xml:space="preserve"> </w:t>
      </w:r>
      <w:r>
        <w:t xml:space="preserve">This stage accounts for the largest portion of emissions (12.5 kgCO2e, or 84% of the total PCF). This is primarily driven by the product\'s 5-year lifespan and its annual electricity consumption in a region with a significant (though improving) grid carbon intensity.</w:t>
      </w:r>
    </w:p>
    <w:p>
      <w:pPr>
        <w:numPr>
          <w:ilvl w:val="0"/>
          <w:numId w:val="1015"/>
        </w:numPr>
        <w:pStyle w:val="Compact"/>
      </w:pPr>
      <w:r>
        <w:rPr>
          <w:bCs/>
          <w:b/>
        </w:rPr>
        <w:t xml:space="preserve">Materials Acquisition &amp; Processing (Scope 3, Category 1):</w:t>
      </w:r>
      <w:r>
        <w:t xml:space="preserve"> </w:t>
      </w:r>
      <w:r>
        <w:t xml:space="preserve">The manufacturing of components, particularly the PCB, microcontroller chip, and plastic casing, contributes significantly to upstream emissions (1.921 kgCO2e, or 12.9% of the total PCF).</w:t>
      </w:r>
    </w:p>
    <w:p>
      <w:pPr>
        <w:numPr>
          <w:ilvl w:val="0"/>
          <w:numId w:val="1015"/>
        </w:numPr>
        <w:pStyle w:val="Compact"/>
      </w:pPr>
      <w:r>
        <w:rPr>
          <w:bCs/>
          <w:b/>
        </w:rPr>
        <w:t xml:space="preserve">Manufacturing (Scope 2):</w:t>
      </w:r>
      <w:r>
        <w:t xml:space="preserve"> </w:t>
      </w:r>
      <w:r>
        <w:t xml:space="preserve">While renewable energy usage is high (75%), the remaining non-renewable electricity still contributes 0.75 kgCO2e (5.0%).</w:t>
      </w:r>
    </w:p>
    <w:bookmarkEnd w:id="40"/>
    <w:bookmarkStart w:id="41" w:name="recommendations-for-yyrfvtolko"/>
    <w:p>
      <w:pPr>
        <w:pStyle w:val="Heading3"/>
      </w:pPr>
      <w:r>
        <w:t xml:space="preserve">Recommendations for yyrfvtolko</w:t>
      </w:r>
    </w:p>
    <w:p>
      <w:pPr>
        <w:numPr>
          <w:ilvl w:val="0"/>
          <w:numId w:val="1016"/>
        </w:numPr>
        <w:pStyle w:val="Compact"/>
      </w:pPr>
      <w:r>
        <w:rPr>
          <w:bCs/>
          <w:b/>
        </w:rPr>
        <w:t xml:space="preserve">Optimize Use Phase Efficiency:</w:t>
      </w:r>
      <w:r>
        <w:t xml:space="preserve"> </w:t>
      </w:r>
      <w:r>
        <w:t xml:space="preserve">Given the dominant impact of the use phase, yyrfvtolko should focus intensely on improving the energy efficiency of the EcoHub 2000. This could involve:</w:t>
      </w:r>
    </w:p>
    <w:p>
      <w:pPr>
        <w:numPr>
          <w:ilvl w:val="1"/>
          <w:numId w:val="1017"/>
        </w:numPr>
        <w:pStyle w:val="Compact"/>
      </w:pPr>
      <w:r>
        <w:t xml:space="preserve">Developing lower-power consumption modes.</w:t>
      </w:r>
    </w:p>
    <w:p>
      <w:pPr>
        <w:numPr>
          <w:ilvl w:val="1"/>
          <w:numId w:val="1017"/>
        </w:numPr>
        <w:pStyle w:val="Compact"/>
      </w:pPr>
      <w:r>
        <w:t xml:space="preserve">Encouraging users to connect to renewable energy sources for product operation.</w:t>
      </w:r>
    </w:p>
    <w:p>
      <w:pPr>
        <w:numPr>
          <w:ilvl w:val="1"/>
          <w:numId w:val="1017"/>
        </w:numPr>
        <w:pStyle w:val="Compact"/>
      </w:pPr>
      <w:r>
        <w:t xml:space="preserve">Exploring regional carbon intensity of electricity grids where products are sold and providing guidance to consumers.</w:t>
      </w:r>
    </w:p>
    <w:p>
      <w:pPr>
        <w:numPr>
          <w:ilvl w:val="0"/>
          <w:numId w:val="1016"/>
        </w:numPr>
        <w:pStyle w:val="Compact"/>
      </w:pPr>
      <w:r>
        <w:rPr>
          <w:bCs/>
          <w:b/>
        </w:rPr>
        <w:t xml:space="preserve">Enhance Material Sustainability:</w:t>
      </w:r>
      <w:r>
        <w:t xml:space="preserve"> </w:t>
      </w:r>
      <w:r>
        <w:t xml:space="preserve">Investigate opportunities to reduce the carbon intensity of purchased materials:</w:t>
      </w:r>
    </w:p>
    <w:p>
      <w:pPr>
        <w:numPr>
          <w:ilvl w:val="1"/>
          <w:numId w:val="1018"/>
        </w:numPr>
        <w:pStyle w:val="Compact"/>
      </w:pPr>
      <w:r>
        <w:t xml:space="preserve">Source components made from recycled content (e.g., recycled ABS plastic, recycled aluminum).</w:t>
      </w:r>
    </w:p>
    <w:p>
      <w:pPr>
        <w:numPr>
          <w:ilvl w:val="1"/>
          <w:numId w:val="1018"/>
        </w:numPr>
        <w:pStyle w:val="Compact"/>
      </w:pPr>
      <w:r>
        <w:t xml:space="preserve">Engage with suppliers to encourage the use of renewable energy in their manufacturing processes.</w:t>
      </w:r>
    </w:p>
    <w:p>
      <w:pPr>
        <w:numPr>
          <w:ilvl w:val="1"/>
          <w:numId w:val="1018"/>
        </w:numPr>
        <w:pStyle w:val="Compact"/>
      </w:pPr>
      <w:r>
        <w:t xml:space="preserve">Redesign components for lighter weight and increased material efficiency.</w:t>
      </w:r>
    </w:p>
    <w:p>
      <w:pPr>
        <w:numPr>
          <w:ilvl w:val="0"/>
          <w:numId w:val="1016"/>
        </w:numPr>
        <w:pStyle w:val="Compact"/>
      </w:pPr>
      <w:r>
        <w:rPr>
          <w:bCs/>
          <w:b/>
        </w:rPr>
        <w:t xml:space="preserve">Strengthen Circular Economy Initiatives:</w:t>
      </w:r>
      <w:r>
        <w:t xml:space="preserve"> </w:t>
      </w:r>
      <w:r>
        <w:t xml:space="preserve">While an active take-back program exists, continuous improvement is vital:</w:t>
      </w:r>
    </w:p>
    <w:p>
      <w:pPr>
        <w:numPr>
          <w:ilvl w:val="1"/>
          <w:numId w:val="1019"/>
        </w:numPr>
        <w:pStyle w:val="Compact"/>
      </w:pPr>
      <w:r>
        <w:t xml:space="preserve">Increase the recyclability percentage beyond 80% where feasible.</w:t>
      </w:r>
    </w:p>
    <w:p>
      <w:pPr>
        <w:numPr>
          <w:ilvl w:val="1"/>
          <w:numId w:val="1019"/>
        </w:numPr>
        <w:pStyle w:val="Compact"/>
      </w:pPr>
      <w:r>
        <w:t xml:space="preserve">Promote and expand refurbishment and repair services to extend product lifespans further, thereby reducing the need for new production.</w:t>
      </w:r>
    </w:p>
    <w:p>
      <w:pPr>
        <w:numPr>
          <w:ilvl w:val="1"/>
          <w:numId w:val="1019"/>
        </w:numPr>
        <w:pStyle w:val="Compact"/>
      </w:pPr>
      <w:r>
        <w:t xml:space="preserve">Explore innovative end-of-life treatments that offer higher avoided emissions or carbon sequestration.</w:t>
      </w:r>
    </w:p>
    <w:p>
      <w:pPr>
        <w:numPr>
          <w:ilvl w:val="0"/>
          <w:numId w:val="1016"/>
        </w:numPr>
        <w:pStyle w:val="Compact"/>
      </w:pPr>
      <w:r>
        <w:rPr>
          <w:bCs/>
          <w:b/>
        </w:rPr>
        <w:t xml:space="preserve">Supply Chain Engagement for Scope 3 Data:</w:t>
      </w:r>
      <w:r>
        <w:t xml:space="preserve"> </w:t>
      </w:r>
      <w:r>
        <w:t xml:space="preserve">In line with the 2026 GHG Protocol updates, yyrfvtolko should prioritize collecting primary data from its upstream and downstream partners to ensure high accuracy and compliance with the 95% Scope 3 coverage rule and mandatory data disaggregation.</w:t>
      </w:r>
    </w:p>
    <w:bookmarkEnd w:id="41"/>
    <w:bookmarkStart w:id="42" w:name="reliability-statement"/>
    <w:p>
      <w:pPr>
        <w:pStyle w:val="Heading3"/>
      </w:pPr>
      <w:r>
        <w:t xml:space="preserve">Reliability Statement</w:t>
      </w:r>
    </w:p>
    <w:p>
      <w:pPr>
        <w:pStyle w:val="FirstParagraph"/>
      </w:pPr>
      <w:r>
        <w:t xml:space="preserve">This PCF analysis is conducted using a combination of primary data (provided parameters) and secondary, industry-standard emission factors from reputable databases such as Ecoinvent and DEFRA. The calculations are performed in accordance with the GHG Protocol\'s Product Standard. While efforts have been made to ensure accuracy and completeness, the inherent variability in supply chain data and the use of average emission factors introduce a degree of uncertainty. The integration of 2026 GHG Protocol updates, particularly the 95% Scope 3 coverage rule, highlights the ongoing need for enhanced data quality and transparency across the value chain.</w:t>
      </w:r>
    </w:p>
    <w:bookmarkEnd w:id="42"/>
    <w:bookmarkStart w:id="43" w:name="conclusion"/>
    <w:p>
      <w:pPr>
        <w:pStyle w:val="Heading3"/>
      </w:pPr>
      <w:r>
        <w:t xml:space="preserve">Conclusion</w:t>
      </w:r>
    </w:p>
    <w:p>
      <w:pPr>
        <w:pStyle w:val="FirstParagraph"/>
      </w:pPr>
      <w:r>
        <w:t xml:space="preserve">The Product Carbon Footprint of yyrfvtolko\'s "EcoHub 2000" is determined to be</w:t>
      </w:r>
      <w:r>
        <w:t xml:space="preserve"> </w:t>
      </w:r>
      <w:r>
        <w:rPr>
          <w:bCs/>
          <w:b/>
        </w:rPr>
        <w:t xml:space="preserve">14.891 kgCO2e per unit</w:t>
      </w:r>
      <w:r>
        <w:t xml:space="preserve">. The analysis clearly indicates that the use phase is the most significant contributor to the product\'s overall emissions, followed by the acquisition and processing of materials. By focusing on energy efficiency improvements, sustainable material sourcing, and robust circular economy programs, yyrfvtolko has substantial opportunities to reduce the environmental impact of the EcoHub 2000 and demonstrate leadership in product sustainability. Continuous monitoring and granular data collection will be crucial for future improvements and compliance with evolving GHG Protocol requirements.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vshhzxjvtm (EcoHub 2000)</dc:title>
  <dc:creator/>
  <dc:description>High-detail Product Carbon Footprint (PCF) analysis report for vshhzxjvtm (EcoHub 2000) by dnqrllitwt for yyrfvtolko, adhering to GHG Protocol and 2026 updates.</dc:description>
  <dc:language>en</dc:language>
  <cp:keywords/>
  <dcterms:created xsi:type="dcterms:W3CDTF">2026-07-15T06:40:06Z</dcterms:created>
  <dcterms:modified xsi:type="dcterms:W3CDTF">2026-07-15T06:40:06Z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