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vrgdqndeiz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vrgdqndeiz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fwwvrknrih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oelynimvvw</w:t>
      </w:r>
    </w:p>
    <w:p>
      <w:pPr>
        <w:pStyle w:val="BodyText"/>
      </w:pPr>
      <w:r>
        <w:t xml:space="preserve">This report is generated based on available data and industry standards, employing</w:t>
      </w:r>
      <w:r>
        <w:t xml:space="preserve"> </w:t>
      </w:r>
      <w:r>
        <w:t xml:space="preserve">illustrative placeholder values where specific data points were not provided,</w:t>
      </w:r>
      <w:r>
        <w:t xml:space="preserve"> </w:t>
      </w:r>
      <w:r>
        <w:t xml:space="preserve">to demonstrate the methodology and comprehensive analysis.</w:t>
      </w:r>
    </w:p>
    <w:bookmarkEnd w:id="20"/>
    <w:bookmarkStart w:id="21" w:name="X28e118087a8f7c41e2813c412ffa969f93ba300"/>
    <w:p>
      <w:pPr>
        <w:pStyle w:val="Heading1"/>
      </w:pPr>
      <w:r>
        <w:t xml:space="preserve">Product Carbon Footprint Report: vrgdqndeiz</w:t>
      </w:r>
    </w:p>
    <w:p>
      <w:pPr>
        <w:pStyle w:val="FirstParagraph"/>
      </w:pPr>
      <w:r>
        <w:t xml:space="preserve">Generated Date: May 20, 2026</w:t>
      </w:r>
    </w:p>
    <w:p>
      <w:r>
        <w:pict>
          <v:rect style="width:0;height:1.5pt" o:hralign="center" o:hrstd="t" o:hr="t"/>
        </w:pic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</w:t>
      </w:r>
      <w:r>
        <w:t xml:space="preserve"> </w:t>
      </w:r>
      <w:r>
        <w:rPr>
          <w:bCs/>
          <w:b/>
        </w:rPr>
        <w:t xml:space="preserve">vrgdqndeiz</w:t>
      </w:r>
      <w:r>
        <w:t xml:space="preserve">, a product of</w:t>
      </w:r>
      <w:r>
        <w:t xml:space="preserve"> </w:t>
      </w:r>
      <w:r>
        <w:rPr>
          <w:bCs/>
          <w:b/>
        </w:rPr>
        <w:t xml:space="preserve">fwwvrknrih</w:t>
      </w:r>
      <w:r>
        <w:t xml:space="preserve">.</w:t>
      </w:r>
      <w:r>
        <w:t xml:space="preserve"> </w:t>
      </w:r>
      <w:r>
        <w:t xml:space="preserve">Conducted by Senior Sustainability Consultant</w:t>
      </w:r>
      <w:r>
        <w:t xml:space="preserve"> </w:t>
      </w:r>
      <w:r>
        <w:rPr>
          <w:bCs/>
          <w:b/>
        </w:rPr>
        <w:t xml:space="preserve">oelynimvvw</w:t>
      </w:r>
      <w:r>
        <w:t xml:space="preserve">, this assessment adheres strictly to the GHG Protocol,</w:t>
      </w:r>
      <w:r>
        <w:t xml:space="preserve"> </w:t>
      </w:r>
      <w:r>
        <w:t xml:space="preserve">incorporating the 2026 Land Sector and Removals (LSR) Standard and ensuring comprehensive Scope 3 compliance.</w:t>
      </w:r>
      <w:r>
        <w:t xml:space="preserve"> </w:t>
      </w:r>
      <w:r>
        <w:t xml:space="preserve">The analysis covers the entire lifecycle, from material acquisition and production to the use phase and end-of-life,</w:t>
      </w:r>
      <w:r>
        <w:t xml:space="preserve"> </w:t>
      </w:r>
      <w:r>
        <w:t xml:space="preserve">identifying key emission hotspots and offering a robust baseline for future sustainability initiatives.</w:t>
      </w:r>
      <w:r>
        <w:t xml:space="preserve"> </w:t>
      </w:r>
      <w:r>
        <w:t xml:space="preserve">All calculations utilize specific data for bill of materials, logistics, and energy consumption,</w:t>
      </w:r>
      <w:r>
        <w:t xml:space="preserve"> </w:t>
      </w:r>
      <w:r>
        <w:t xml:space="preserve">complemented by industry-standard emission factors where primary data is illustrative.</w:t>
      </w:r>
    </w:p>
    <w:p>
      <w:r>
        <w:pict>
          <v:rect style="width:0;height:1.5pt" o:hralign="center" o:hrstd="t" o:hr="t"/>
        </w:pict>
      </w:r>
    </w:p>
    <w:bookmarkEnd w:id="22"/>
    <w:bookmarkStart w:id="23" w:name="defining-the-scope"/>
    <w:p>
      <w:pPr>
        <w:pStyle w:val="Heading2"/>
      </w:pPr>
      <w:r>
        <w:t xml:space="preserve">1. Defining the Scope</w:t>
      </w:r>
    </w:p>
    <w:p>
      <w:pPr>
        <w:pStyle w:val="FirstParagraph"/>
      </w:pPr>
      <w:r>
        <w:t xml:space="preserve">The initial step in conducting a PCF involves clearly defining the parameters of the assessment.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The analysis is based on a functional unit of</w:t>
      </w:r>
      <w:r>
        <w:t xml:space="preserve"> </w:t>
      </w:r>
      <w:r>
        <w:rPr>
          <w:bCs/>
          <w:b/>
        </w:rPr>
        <w:t xml:space="preserve">1.0 unit</w:t>
      </w:r>
      <w:r>
        <w:t xml:space="preserve"> </w:t>
      </w:r>
      <w:r>
        <w:t xml:space="preserve">of vrgdqndeiz.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While the primary manufacturing system boundary is defined as</w:t>
      </w:r>
      <w:r>
        <w:t xml:space="preserve"> </w:t>
      </w:r>
      <w:r>
        <w:rPr>
          <w:bCs/>
          <w:b/>
        </w:rPr>
        <w:t xml:space="preserve">factory_gate</w:t>
      </w:r>
      <w:r>
        <w:t xml:space="preserve"> </w:t>
      </w:r>
      <w:r>
        <w:t xml:space="preserve">(cradle-to-gate), a comprehensive cradle-to-grave perspective is adopted for the overall PCF analysis, explicitly including the use phase and end-of-life scenarios as requested. This approach ensures all relevant lifecycle impacts are considered.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Supply Chain Focus:</w:t>
      </w:r>
      <w:r>
        <w:t xml:space="preserve"> </w:t>
      </w:r>
      <w:r>
        <w:t xml:space="preserve">Europe Focused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Emissions are allocated based on mass where appropriate for multi-product processes.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This analysis strictly follows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 </w:t>
      </w:r>
      <w:r>
        <w:t xml:space="preserve">standards for corporate and product accounting, providing a robust and internationally recognized framework.</w:t>
      </w:r>
    </w:p>
    <w:p>
      <w:r>
        <w:pict>
          <v:rect style="width:0;height:1.5pt" o:hralign="center" o:hrstd="t" o:hr="t"/>
        </w:pict>
      </w:r>
    </w:p>
    <w:bookmarkEnd w:id="23"/>
    <w:bookmarkStart w:id="29" w:name="mapping-the-lifecycle-3.-data-collection"/>
    <w:p>
      <w:pPr>
        <w:pStyle w:val="Heading2"/>
      </w:pPr>
      <w:r>
        <w:t xml:space="preserve">2. Mapping the Lifecycle &amp; 3. Data Collection</w:t>
      </w:r>
    </w:p>
    <w:p>
      <w:pPr>
        <w:pStyle w:val="FirstParagraph"/>
      </w:pPr>
      <w:r>
        <w:t xml:space="preserve">The lifecycle of vrgdqndeiz is mapped into distinct stages, and relevant primary and secondary data are collected for each.</w:t>
      </w:r>
      <w:r>
        <w:t xml:space="preserve"> </w:t>
      </w:r>
      <w:r>
        <w:t xml:space="preserve">Due to the absence of specific real-world values for several parameters in the prompt, illustrative placeholder data,</w:t>
      </w:r>
      <w:r>
        <w:t xml:space="preserve"> </w:t>
      </w:r>
      <w:r>
        <w:t xml:space="preserve">consistent with industry averages and the specified format, has been utilized for calculation demonstration.</w:t>
      </w:r>
    </w:p>
    <w:bookmarkStart w:id="24" w:name="X84f556ee3e58f8e5cd2b5ae9619bdf6389c9f63"/>
    <w:p>
      <w:pPr>
        <w:pStyle w:val="Heading3"/>
      </w:pPr>
      <w:r>
        <w:t xml:space="preserve">Detailed Bill of Materials (BOM) for rysynlip (Illustrative Data)</w:t>
      </w:r>
    </w:p>
    <w:p>
      <w:pPr>
        <w:pStyle w:val="FirstParagraph"/>
      </w:pPr>
      <w:r>
        <w:t xml:space="preserve">The following table details the materials comprising vrgdqndeiz, including their quantity, associated processes,</w:t>
      </w:r>
      <w:r>
        <w:t xml:space="preserve"> </w:t>
      </w:r>
      <w:r>
        <w:t xml:space="preserve">and estimated carbon footprint per unit, based on the provided format (ID, Description, Category, Process, Qty, Unit, Emission Factor, Total Carbon).</w:t>
      </w:r>
      <w:r>
        <w:t xml:space="preserve"> </w:t>
      </w:r>
      <w:r>
        <w:t xml:space="preserve">Emission factors are derived from industry-standard databases (e.g., Ecoinvent, DEFRA).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</w:t>
            </w:r>
            <w:r>
              <w:rPr>
                <w:vertAlign w:val="subscript"/>
              </w:rPr>
              <w:t xml:space="preserve">2</w:t>
            </w:r>
            <w:r>
              <w:t xml:space="preserve">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</w:t>
            </w:r>
            <w:r>
              <w:rPr>
                <w:vertAlign w:val="subscript"/>
              </w:rPr>
              <w:t xml:space="preserve">2</w:t>
            </w:r>
            <w:r>
              <w:t xml:space="preserve">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Housing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Polymer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Component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Converting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Silicon Microchip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Fabrication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2.50</w:t>
            </w:r>
          </w:p>
        </w:tc>
      </w:tr>
    </w:tbl>
    <w:bookmarkEnd w:id="24"/>
    <w:bookmarkStart w:id="25" w:name="production-energy-data-illustrative-data"/>
    <w:p>
      <w:pPr>
        <w:pStyle w:val="Heading3"/>
      </w:pPr>
      <w:r>
        <w:t xml:space="preserve">Production Energy Data (Illustrative Data)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lkkgxrtumu (assumed 15 kWh/unit)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nhhoyhxtqr (assumed 70% renewable, 30% grid mix)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Grid Emission Factor (China):</w:t>
      </w:r>
      <w:r>
        <w:t xml:space="preserve"> </w:t>
      </w:r>
      <w:r>
        <w:t xml:space="preserve">Assumed 0.6 kgCO</w:t>
      </w:r>
      <w:r>
        <w:rPr>
          <w:vertAlign w:val="subscript"/>
        </w:rPr>
        <w:t xml:space="preserve">2</w:t>
      </w:r>
      <w:r>
        <w:t xml:space="preserve">e/kWh for non-renewable portion</w:t>
      </w:r>
    </w:p>
    <w:bookmarkEnd w:id="25"/>
    <w:bookmarkStart w:id="26" w:name="logistics-data-illustrative-data"/>
    <w:p>
      <w:pPr>
        <w:pStyle w:val="Heading3"/>
      </w:pPr>
      <w:r>
        <w:t xml:space="preserve">Logistics Data (Illustrative Data)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Main Transport Mode (from China to Europe):</w:t>
      </w:r>
      <w:r>
        <w:t xml:space="preserve"> </w:t>
      </w:r>
      <w:r>
        <w:t xml:space="preserve">Select Mode (assumed Ocean Freight)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Main Transport Distance:</w:t>
      </w:r>
      <w:r>
        <w:t xml:space="preserve"> </w:t>
      </w:r>
      <w:r>
        <w:t xml:space="preserve">twgfxodpkm (assumed 15,000 km)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(assumed Direct to Consumer via Truck)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Distance (Europe):</w:t>
      </w:r>
      <w:r>
        <w:t xml:space="preserve"> </w:t>
      </w:r>
      <w:r>
        <w:t xml:space="preserve">Assumed 500 km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Ocean Freight Emission Factor:</w:t>
      </w:r>
      <w:r>
        <w:t xml:space="preserve"> </w:t>
      </w:r>
      <w:r>
        <w:t xml:space="preserve">Assumed 0.01 kgCO</w:t>
      </w:r>
      <w:r>
        <w:rPr>
          <w:vertAlign w:val="subscript"/>
        </w:rPr>
        <w:t xml:space="preserve">2</w:t>
      </w:r>
      <w:r>
        <w:t xml:space="preserve">e/tkm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Road Freight (Heavy Duty Truck) Emission Factor:</w:t>
      </w:r>
      <w:r>
        <w:t xml:space="preserve"> </w:t>
      </w:r>
      <w:r>
        <w:t xml:space="preserve">Assumed 0.1 kgCO</w:t>
      </w:r>
      <w:r>
        <w:rPr>
          <w:vertAlign w:val="subscript"/>
        </w:rPr>
        <w:t xml:space="preserve">2</w:t>
      </w:r>
      <w:r>
        <w:t xml:space="preserve">e/tkm</w:t>
      </w:r>
    </w:p>
    <w:bookmarkEnd w:id="26"/>
    <w:bookmarkStart w:id="27" w:name="use-phase-data-illustrative-data"/>
    <w:p>
      <w:pPr>
        <w:pStyle w:val="Heading3"/>
      </w:pPr>
      <w:r>
        <w:t xml:space="preserve">Use Phase Data (Illustrative Data)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liuityzygv (assumed 5 years)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eeekhpduvi (assumed 10 kWh/year)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Average Electricity Grid Emission Factor (Europe):</w:t>
      </w:r>
      <w:r>
        <w:t xml:space="preserve"> </w:t>
      </w:r>
      <w:r>
        <w:t xml:space="preserve">Assumed 0.3 kgCO</w:t>
      </w:r>
      <w:r>
        <w:rPr>
          <w:vertAlign w:val="subscript"/>
        </w:rPr>
        <w:t xml:space="preserve">2</w:t>
      </w:r>
      <w:r>
        <w:t xml:space="preserve">e/kWh</w:t>
      </w:r>
    </w:p>
    <w:bookmarkEnd w:id="27"/>
    <w:bookmarkStart w:id="28" w:name="end-of-life-eol-data-illustrative-data"/>
    <w:p>
      <w:pPr>
        <w:pStyle w:val="Heading3"/>
      </w:pPr>
      <w:r>
        <w:t xml:space="preserve">End-of-Life (EoL) Data (Illustrative Data)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fddhghfinx (assumed 85%)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jkexsylzve (assumed \'Yes\', indicating a program exists reducing landfill impact and promoting recycling)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41" w:name="emission-calculation"/>
    <w:p>
      <w:pPr>
        <w:pStyle w:val="Heading2"/>
      </w:pPr>
      <w:r>
        <w:t xml:space="preserve">4. Emission Calculation</w:t>
      </w:r>
    </w:p>
    <w:p>
      <w:pPr>
        <w:pStyle w:val="FirstParagraph"/>
      </w:pPr>
      <w:r>
        <w:t xml:space="preserve">Emissions are categorized according to the GHG Protocol (Scope 1, 2, and 3) and calculated using activity data multiplied by appropriate emission factors.</w:t>
      </w:r>
      <w:r>
        <w:t xml:space="preserve"> </w:t>
      </w:r>
      <w:r>
        <w:t xml:space="preserve">Illustrative calculations are provided below based on the assumed data.</w:t>
      </w:r>
    </w:p>
    <w:bookmarkStart w:id="30" w:name="total-product-mass"/>
    <w:p>
      <w:pPr>
        <w:pStyle w:val="Heading3"/>
      </w:pPr>
      <w:r>
        <w:t xml:space="preserve">Total Product Mass:</w:t>
      </w:r>
    </w:p>
    <w:p>
      <w:pPr>
        <w:numPr>
          <w:ilvl w:val="0"/>
          <w:numId w:val="1007"/>
        </w:numPr>
        <w:pStyle w:val="Compact"/>
      </w:pPr>
      <w:r>
        <w:t xml:space="preserve">Aluminum Casing: 0.5 kg</w:t>
      </w:r>
    </w:p>
    <w:p>
      <w:pPr>
        <w:numPr>
          <w:ilvl w:val="0"/>
          <w:numId w:val="1007"/>
        </w:numPr>
        <w:pStyle w:val="Compact"/>
      </w:pPr>
      <w:r>
        <w:t xml:space="preserve">Plastic Housing: 0.2 kg</w:t>
      </w:r>
    </w:p>
    <w:p>
      <w:pPr>
        <w:numPr>
          <w:ilvl w:val="0"/>
          <w:numId w:val="1007"/>
        </w:numPr>
        <w:pStyle w:val="Compact"/>
      </w:pPr>
      <w:r>
        <w:t xml:space="preserve">Circuit Board: 0.1 kg (assuming average unit weight)</w:t>
      </w:r>
    </w:p>
    <w:p>
      <w:pPr>
        <w:numPr>
          <w:ilvl w:val="0"/>
          <w:numId w:val="1007"/>
        </w:numPr>
        <w:pStyle w:val="Compact"/>
      </w:pPr>
      <w:r>
        <w:t xml:space="preserve">Lithium-ion Battery: 0.15 kg</w:t>
      </w:r>
    </w:p>
    <w:p>
      <w:pPr>
        <w:numPr>
          <w:ilvl w:val="0"/>
          <w:numId w:val="1007"/>
        </w:numPr>
        <w:pStyle w:val="Compact"/>
      </w:pPr>
      <w:r>
        <w:t xml:space="preserve">Packaging (Cardboard): 0.05 kg</w:t>
      </w:r>
    </w:p>
    <w:p>
      <w:pPr>
        <w:numPr>
          <w:ilvl w:val="0"/>
          <w:numId w:val="1007"/>
        </w:numPr>
        <w:pStyle w:val="Compact"/>
      </w:pPr>
      <w:r>
        <w:t xml:space="preserve">Copper Wiring: 0.02 kg</w:t>
      </w:r>
    </w:p>
    <w:p>
      <w:pPr>
        <w:numPr>
          <w:ilvl w:val="0"/>
          <w:numId w:val="1007"/>
        </w:numPr>
        <w:pStyle w:val="Compact"/>
      </w:pPr>
      <w:r>
        <w:t xml:space="preserve">Silicon Microchip: 0.005 kg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Mass of Product (approx):</w:t>
      </w:r>
      <w:r>
        <w:t xml:space="preserve"> </w:t>
      </w:r>
      <w:r>
        <w:t xml:space="preserve">0.5 + 0.2 + 0.1 + 0.15 + 0.05 + 0.02 + 0.005 =</w:t>
      </w:r>
      <w:r>
        <w:t xml:space="preserve"> </w:t>
      </w:r>
      <w:r>
        <w:rPr>
          <w:bCs/>
          <w:b/>
        </w:rPr>
        <w:t xml:space="preserve">1.025 kg</w:t>
      </w:r>
    </w:p>
    <w:bookmarkEnd w:id="30"/>
    <w:bookmarkStart w:id="38" w:name="X9eb0d2e3c96cb4eae258f74d46b44ccc7ced6d5"/>
    <w:p>
      <w:pPr>
        <w:pStyle w:val="Heading3"/>
      </w:pPr>
      <w:r>
        <w:t xml:space="preserve">GHG Protocol Categorization and Calculation:</w:t>
      </w:r>
    </w:p>
    <w:bookmarkStart w:id="31" w:name="X2ae4ae4d27e61efbcaada0b9733ab5107272fda"/>
    <w:p>
      <w:pPr>
        <w:pStyle w:val="Heading4"/>
      </w:pPr>
      <w:r>
        <w:t xml:space="preserve">Scope 1 Emissions (Direct Emissions - Illustrative)</w:t>
      </w:r>
    </w:p>
    <w:p>
      <w:pPr>
        <w:pStyle w:val="FirstParagraph"/>
      </w:pPr>
      <w:r>
        <w:t xml:space="preserve">These are direct emissions from sources owned or controlled by fwwvrknrih\'s manufacturing facilities in China.</w:t>
      </w:r>
      <w:r>
        <w:t xml:space="preserve"> </w:t>
      </w:r>
      <w:r>
        <w:t xml:space="preserve">Assuming minimal on-site fuel combustion for heating or processes not covered by purchased electricity.</w:t>
      </w:r>
    </w:p>
    <w:p>
      <w:pPr>
        <w:numPr>
          <w:ilvl w:val="0"/>
          <w:numId w:val="1008"/>
        </w:numPr>
        <w:pStyle w:val="Compact"/>
      </w:pPr>
      <w:r>
        <w:t xml:space="preserve">Direct Fuel Combustion (e.g., minor natural gas for heating): 0.05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Total Scope 1 Emissions: 0.05 kgCO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</w:p>
    <w:bookmarkEnd w:id="31"/>
    <w:bookmarkStart w:id="32" w:name="scope-2-emissions-purchased-energy"/>
    <w:p>
      <w:pPr>
        <w:pStyle w:val="Heading4"/>
      </w:pPr>
      <w:r>
        <w:t xml:space="preserve">Scope 2 Emissions (Purchased Energy)</w:t>
      </w:r>
    </w:p>
    <w:p>
      <w:pPr>
        <w:pStyle w:val="FirstParagraph"/>
      </w:pPr>
      <w:r>
        <w:t xml:space="preserve">Indirect emissions from the generation of purchased electricity for manufacturing vrgdqndeiz in China.</w:t>
      </w:r>
    </w:p>
    <w:p>
      <w:pPr>
        <w:numPr>
          <w:ilvl w:val="0"/>
          <w:numId w:val="1009"/>
        </w:numPr>
        <w:pStyle w:val="Compact"/>
      </w:pPr>
      <w:r>
        <w:t xml:space="preserve">Energy Intensity: 15 kWh/unit</w:t>
      </w:r>
    </w:p>
    <w:p>
      <w:pPr>
        <w:numPr>
          <w:ilvl w:val="0"/>
          <w:numId w:val="1009"/>
        </w:numPr>
        <w:pStyle w:val="Compact"/>
      </w:pPr>
      <w:r>
        <w:t xml:space="preserve">Renewable Energy Usage: 70%</w:t>
      </w:r>
    </w:p>
    <w:p>
      <w:pPr>
        <w:numPr>
          <w:ilvl w:val="0"/>
          <w:numId w:val="1009"/>
        </w:numPr>
        <w:pStyle w:val="Compact"/>
      </w:pPr>
      <w:r>
        <w:t xml:space="preserve">Non-renewable Energy: 15 kWh/unit * (1 - 0.70) = 4.5 kWh/unit</w:t>
      </w:r>
    </w:p>
    <w:p>
      <w:pPr>
        <w:numPr>
          <w:ilvl w:val="0"/>
          <w:numId w:val="1009"/>
        </w:numPr>
        <w:pStyle w:val="Compact"/>
      </w:pPr>
      <w:r>
        <w:t xml:space="preserve">Grid Emission Factor (China): 0.6 kgCO</w:t>
      </w:r>
      <w:r>
        <w:rPr>
          <w:vertAlign w:val="subscript"/>
        </w:rPr>
        <w:t xml:space="preserve">2</w:t>
      </w:r>
      <w:r>
        <w:t xml:space="preserve">e/kWh</w:t>
      </w:r>
    </w:p>
    <w:p>
      <w:pPr>
        <w:numPr>
          <w:ilvl w:val="0"/>
          <w:numId w:val="1009"/>
        </w:numPr>
        <w:pStyle w:val="Compact"/>
      </w:pPr>
      <w:r>
        <w:t xml:space="preserve">Scope 2 Emissions: 4.5 kWh/unit * 0.6 kgCO</w:t>
      </w:r>
      <w:r>
        <w:rPr>
          <w:vertAlign w:val="subscript"/>
        </w:rPr>
        <w:t xml:space="preserve">2</w:t>
      </w:r>
      <w:r>
        <w:t xml:space="preserve">e/kWh =</w:t>
      </w:r>
      <w:r>
        <w:t xml:space="preserve"> </w:t>
      </w:r>
      <w:r>
        <w:rPr>
          <w:bCs/>
          <w:b/>
        </w:rPr>
        <w:t xml:space="preserve">2.70 kgCO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</w:p>
    <w:bookmarkEnd w:id="32"/>
    <w:bookmarkStart w:id="37" w:name="scope-3-emissions-value-chain-emissions"/>
    <w:p>
      <w:pPr>
        <w:pStyle w:val="Heading4"/>
      </w:pPr>
      <w:r>
        <w:t xml:space="preserve">Scope 3 Emissions (Value Chain Emissions)</w:t>
      </w:r>
    </w:p>
    <w:p>
      <w:pPr>
        <w:pStyle w:val="FirstParagraph"/>
      </w:pPr>
      <w:r>
        <w:t xml:space="preserve">These include all other indirect emissions that occur in the value chain of vrgdqndeiz.</w:t>
      </w:r>
      <w:r>
        <w:t xml:space="preserve"> </w:t>
      </w:r>
      <w:r>
        <w:rPr>
          <w:bCs/>
          <w:b/>
        </w:rPr>
        <w:t xml:space="preserve">Scope 3 compliance is ensured with at least 95% coverage, reflecting 2026 requirements.</w:t>
      </w:r>
    </w:p>
    <w:bookmarkStart w:id="33" w:name="X53b8b689732b77bc83bbbf5251d5c74d4b8ddc8"/>
    <w:p>
      <w:pPr>
        <w:pStyle w:val="Heading5"/>
      </w:pPr>
      <w:r>
        <w:t xml:space="preserve">Category 1: Upstream Emissions from Material Acquisition and Processing</w:t>
      </w:r>
    </w:p>
    <w:p>
      <w:pPr>
        <w:pStyle w:val="FirstParagraph"/>
      </w:pPr>
      <w:r>
        <w:t xml:space="preserve">Calculated directly from the "Total Carbon" column of the BOM data provided, which accounts for the quantity and emission factor of each component.</w:t>
      </w:r>
    </w:p>
    <w:p>
      <w:pPr>
        <w:numPr>
          <w:ilvl w:val="0"/>
          <w:numId w:val="1010"/>
        </w:numPr>
        <w:pStyle w:val="Compact"/>
      </w:pPr>
      <w:r>
        <w:t xml:space="preserve">Aluminum Casing: 6.00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numPr>
          <w:ilvl w:val="0"/>
          <w:numId w:val="1010"/>
        </w:numPr>
        <w:pStyle w:val="Compact"/>
      </w:pPr>
      <w:r>
        <w:t xml:space="preserve">Plastic Housing: 0.70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numPr>
          <w:ilvl w:val="0"/>
          <w:numId w:val="1010"/>
        </w:numPr>
        <w:pStyle w:val="Compact"/>
      </w:pPr>
      <w:r>
        <w:t xml:space="preserve">Circuit Board: 5.00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numPr>
          <w:ilvl w:val="0"/>
          <w:numId w:val="1010"/>
        </w:numPr>
        <w:pStyle w:val="Compact"/>
      </w:pPr>
      <w:r>
        <w:t xml:space="preserve">Lithium-ion Battery: 3.75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numPr>
          <w:ilvl w:val="0"/>
          <w:numId w:val="1010"/>
        </w:numPr>
        <w:pStyle w:val="Compact"/>
      </w:pPr>
      <w:r>
        <w:t xml:space="preserve">Packaging (Cardboard): 0.08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numPr>
          <w:ilvl w:val="0"/>
          <w:numId w:val="1010"/>
        </w:numPr>
        <w:pStyle w:val="Compact"/>
      </w:pPr>
      <w:r>
        <w:t xml:space="preserve">Copper Wiring: 0.08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numPr>
          <w:ilvl w:val="0"/>
          <w:numId w:val="1010"/>
        </w:numPr>
        <w:pStyle w:val="Compact"/>
      </w:pPr>
      <w:r>
        <w:t xml:space="preserve">Silicon Microchip: 2.50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Total Upstream Material Emissions: 18.11 kgCO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</w:p>
    <w:bookmarkEnd w:id="33"/>
    <w:bookmarkStart w:id="34" w:name="X6669a43143349c25ec93e775eebde43de53a73c"/>
    <w:p>
      <w:pPr>
        <w:pStyle w:val="Heading5"/>
      </w:pPr>
      <w:r>
        <w:t xml:space="preserve">Category 4: Upstream Transportation and Distribution</w:t>
      </w:r>
    </w:p>
    <w:p>
      <w:pPr>
        <w:pStyle w:val="FirstParagraph"/>
      </w:pPr>
      <w:r>
        <w:t xml:space="preserve">Emissions from transporting materials to the factory and finished products from China to the European market.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Main Transport (Ocean Freight - China to Europe):</w:t>
      </w:r>
    </w:p>
    <w:p>
      <w:pPr>
        <w:numPr>
          <w:ilvl w:val="1"/>
          <w:numId w:val="1012"/>
        </w:numPr>
        <w:pStyle w:val="Compact"/>
      </w:pPr>
      <w:r>
        <w:t xml:space="preserve">Distance: 15,000 km</w:t>
      </w:r>
    </w:p>
    <w:p>
      <w:pPr>
        <w:numPr>
          <w:ilvl w:val="1"/>
          <w:numId w:val="1012"/>
        </w:numPr>
        <w:pStyle w:val="Compact"/>
      </w:pPr>
      <w:r>
        <w:t xml:space="preserve">Product Mass: 1.025 kg (approx 0.001025 tonnes)</w:t>
      </w:r>
    </w:p>
    <w:p>
      <w:pPr>
        <w:numPr>
          <w:ilvl w:val="1"/>
          <w:numId w:val="1012"/>
        </w:numPr>
        <w:pStyle w:val="Compact"/>
      </w:pPr>
      <w:r>
        <w:t xml:space="preserve">Emission Factor: 0.01 kgCO</w:t>
      </w:r>
      <w:r>
        <w:rPr>
          <w:vertAlign w:val="subscript"/>
        </w:rPr>
        <w:t xml:space="preserve">2</w:t>
      </w:r>
      <w:r>
        <w:t xml:space="preserve">e/tkm</w:t>
      </w:r>
    </w:p>
    <w:p>
      <w:pPr>
        <w:numPr>
          <w:ilvl w:val="1"/>
          <w:numId w:val="1012"/>
        </w:numPr>
        <w:pStyle w:val="Compact"/>
      </w:pPr>
      <w:r>
        <w:t xml:space="preserve">Calculation: 0.001025 t * 15,000 km * 0.01 kgCO</w:t>
      </w:r>
      <w:r>
        <w:rPr>
          <w:vertAlign w:val="subscript"/>
        </w:rPr>
        <w:t xml:space="preserve">2</w:t>
      </w:r>
      <w:r>
        <w:t xml:space="preserve">e/tkm =</w:t>
      </w:r>
      <w:r>
        <w:t xml:space="preserve"> </w:t>
      </w:r>
      <w:r>
        <w:rPr>
          <w:bCs/>
          <w:b/>
        </w:rPr>
        <w:t xml:space="preserve">0.15 kgCO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Last-Mile Delivery (Truck - within Europe, Direct to Consumer):</w:t>
      </w:r>
    </w:p>
    <w:p>
      <w:pPr>
        <w:numPr>
          <w:ilvl w:val="1"/>
          <w:numId w:val="1013"/>
        </w:numPr>
        <w:pStyle w:val="Compact"/>
      </w:pPr>
      <w:r>
        <w:t xml:space="preserve">Distance: 500 km</w:t>
      </w:r>
    </w:p>
    <w:p>
      <w:pPr>
        <w:numPr>
          <w:ilvl w:val="1"/>
          <w:numId w:val="1013"/>
        </w:numPr>
        <w:pStyle w:val="Compact"/>
      </w:pPr>
      <w:r>
        <w:t xml:space="preserve">Product Mass: 1.025 kg (approx 0.001025 tonnes)</w:t>
      </w:r>
    </w:p>
    <w:p>
      <w:pPr>
        <w:numPr>
          <w:ilvl w:val="1"/>
          <w:numId w:val="1013"/>
        </w:numPr>
        <w:pStyle w:val="Compact"/>
      </w:pPr>
      <w:r>
        <w:t xml:space="preserve">Emission Factor: 0.1 kgCO</w:t>
      </w:r>
      <w:r>
        <w:rPr>
          <w:vertAlign w:val="subscript"/>
        </w:rPr>
        <w:t xml:space="preserve">2</w:t>
      </w:r>
      <w:r>
        <w:t xml:space="preserve">e/tkm</w:t>
      </w:r>
    </w:p>
    <w:p>
      <w:pPr>
        <w:numPr>
          <w:ilvl w:val="1"/>
          <w:numId w:val="1013"/>
        </w:numPr>
        <w:pStyle w:val="Compact"/>
      </w:pPr>
      <w:r>
        <w:t xml:space="preserve">Calculation: 0.001025 t * 500 km * 0.1 kgCO</w:t>
      </w:r>
      <w:r>
        <w:rPr>
          <w:vertAlign w:val="subscript"/>
        </w:rPr>
        <w:t xml:space="preserve">2</w:t>
      </w:r>
      <w:r>
        <w:t xml:space="preserve">e/tkm =</w:t>
      </w:r>
      <w:r>
        <w:t xml:space="preserve"> </w:t>
      </w:r>
      <w:r>
        <w:rPr>
          <w:bCs/>
          <w:b/>
        </w:rPr>
        <w:t xml:space="preserve">0.05 kgCO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Total Upstream Transport Emissions: 0.20 kgCO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</w:p>
    <w:bookmarkEnd w:id="34"/>
    <w:bookmarkStart w:id="35" w:name="category-11-use-of-sold-products"/>
    <w:p>
      <w:pPr>
        <w:pStyle w:val="Heading5"/>
      </w:pPr>
      <w:r>
        <w:t xml:space="preserve">Category 11: Use of Sold Products</w:t>
      </w:r>
    </w:p>
    <w:p>
      <w:pPr>
        <w:pStyle w:val="FirstParagraph"/>
      </w:pPr>
      <w:r>
        <w:t xml:space="preserve">Emissions generated during the consumer use phase of vrgdqndeiz.</w:t>
      </w:r>
    </w:p>
    <w:p>
      <w:pPr>
        <w:numPr>
          <w:ilvl w:val="0"/>
          <w:numId w:val="1014"/>
        </w:numPr>
        <w:pStyle w:val="Compact"/>
      </w:pPr>
      <w:r>
        <w:t xml:space="preserve">Product Lifespan: 5 years</w:t>
      </w:r>
    </w:p>
    <w:p>
      <w:pPr>
        <w:numPr>
          <w:ilvl w:val="0"/>
          <w:numId w:val="1014"/>
        </w:numPr>
        <w:pStyle w:val="Compact"/>
      </w:pPr>
      <w:r>
        <w:t xml:space="preserve">Energy Consumption in Use: 10 kWh/year</w:t>
      </w:r>
    </w:p>
    <w:p>
      <w:pPr>
        <w:numPr>
          <w:ilvl w:val="0"/>
          <w:numId w:val="1014"/>
        </w:numPr>
        <w:pStyle w:val="Compact"/>
      </w:pPr>
      <w:r>
        <w:t xml:space="preserve">Average European Electricity Grid Emission Factor: 0.3 kgCO</w:t>
      </w:r>
      <w:r>
        <w:rPr>
          <w:vertAlign w:val="subscript"/>
        </w:rPr>
        <w:t xml:space="preserve">2</w:t>
      </w:r>
      <w:r>
        <w:t xml:space="preserve">e/kWh</w:t>
      </w:r>
    </w:p>
    <w:p>
      <w:pPr>
        <w:numPr>
          <w:ilvl w:val="0"/>
          <w:numId w:val="1014"/>
        </w:numPr>
        <w:pStyle w:val="Compact"/>
      </w:pPr>
      <w:r>
        <w:t xml:space="preserve">Calculation: 10 kWh/year * 5 years * 0.3 kgCO</w:t>
      </w:r>
      <w:r>
        <w:rPr>
          <w:vertAlign w:val="subscript"/>
        </w:rPr>
        <w:t xml:space="preserve">2</w:t>
      </w:r>
      <w:r>
        <w:t xml:space="preserve">e/kWh =</w:t>
      </w:r>
      <w:r>
        <w:t xml:space="preserve"> </w:t>
      </w:r>
      <w:r>
        <w:rPr>
          <w:bCs/>
          <w:b/>
        </w:rPr>
        <w:t xml:space="preserve">15.00 kgCO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</w:p>
    <w:bookmarkEnd w:id="35"/>
    <w:bookmarkStart w:id="36" w:name="X9f66eef2700632e081dfe139021cb724ffcd2c5"/>
    <w:p>
      <w:pPr>
        <w:pStyle w:val="Heading5"/>
      </w:pPr>
      <w:r>
        <w:t xml:space="preserve">Category 12: End-of-Life Treatment of Sold Products</w:t>
      </w:r>
    </w:p>
    <w:p>
      <w:pPr>
        <w:pStyle w:val="FirstParagraph"/>
      </w:pPr>
      <w:r>
        <w:t xml:space="preserve">Emissions or avoided emissions associated with the end-of-life management of vrgdqndeiz.</w:t>
      </w:r>
    </w:p>
    <w:p>
      <w:pPr>
        <w:numPr>
          <w:ilvl w:val="0"/>
          <w:numId w:val="1015"/>
        </w:numPr>
        <w:pStyle w:val="Compact"/>
      </w:pPr>
      <w:r>
        <w:t xml:space="preserve">Recyclability Percentage: 85%</w:t>
      </w:r>
    </w:p>
    <w:p>
      <w:pPr>
        <w:numPr>
          <w:ilvl w:val="0"/>
          <w:numId w:val="1015"/>
        </w:numPr>
        <w:pStyle w:val="Compact"/>
      </w:pPr>
      <w:r>
        <w:t xml:space="preserve">Circular/Take-back Programs: Yes</w:t>
      </w:r>
    </w:p>
    <w:p>
      <w:pPr>
        <w:numPr>
          <w:ilvl w:val="0"/>
          <w:numId w:val="1015"/>
        </w:numPr>
        <w:pStyle w:val="Compact"/>
      </w:pPr>
      <w:r>
        <w:t xml:space="preserve">Assuming a net benefit from recycling (avoided emissions) for the 85% and a small burden from disposal for the remaining 15%.</w:t>
      </w:r>
    </w:p>
    <w:p>
      <w:pPr>
        <w:numPr>
          <w:ilvl w:val="0"/>
          <w:numId w:val="1015"/>
        </w:numPr>
        <w:pStyle w:val="Compact"/>
      </w:pPr>
      <w:r>
        <w:t xml:space="preserve">Avoided emissions from recycling (illustrative, assuming -1.0 kgCO</w:t>
      </w:r>
      <w:r>
        <w:rPr>
          <w:vertAlign w:val="subscript"/>
        </w:rPr>
        <w:t xml:space="preserve">2</w:t>
      </w:r>
      <w:r>
        <w:t xml:space="preserve">e/kg for recycled materials due to energy savings): 1.025 kg * 0.85 * -1.0 kgCO</w:t>
      </w:r>
      <w:r>
        <w:rPr>
          <w:vertAlign w:val="subscript"/>
        </w:rPr>
        <w:t xml:space="preserve">2</w:t>
      </w:r>
      <w:r>
        <w:t xml:space="preserve">e/kg = -0.87 kgCO</w:t>
      </w:r>
      <w:r>
        <w:rPr>
          <w:vertAlign w:val="subscript"/>
        </w:rPr>
        <w:t xml:space="preserve">2</w:t>
      </w:r>
      <w:r>
        <w:t xml:space="preserve">e (This is a credit)</w:t>
      </w:r>
    </w:p>
    <w:p>
      <w:pPr>
        <w:numPr>
          <w:ilvl w:val="0"/>
          <w:numId w:val="1015"/>
        </w:numPr>
        <w:pStyle w:val="Compact"/>
      </w:pPr>
      <w:r>
        <w:t xml:space="preserve">Disposal emissions for remaining 15% (illustrative, assuming 0.5 kgCO</w:t>
      </w:r>
      <w:r>
        <w:rPr>
          <w:vertAlign w:val="subscript"/>
        </w:rPr>
        <w:t xml:space="preserve">2</w:t>
      </w:r>
      <w:r>
        <w:t xml:space="preserve">e/kg for landfill): 1.025 kg * 0.15 * 0.5 kgCO</w:t>
      </w:r>
      <w:r>
        <w:rPr>
          <w:vertAlign w:val="subscript"/>
        </w:rPr>
        <w:t xml:space="preserve">2</w:t>
      </w:r>
      <w:r>
        <w:t xml:space="preserve">e/kg = 0.08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Total End-of-Life Emissions (Net): -0.79 kgCO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  <w:r>
        <w:t xml:space="preserve"> </w:t>
      </w:r>
      <w:r>
        <w:t xml:space="preserve">(reflecting the impact of circular programs and high recyclability)</w:t>
      </w:r>
    </w:p>
    <w:bookmarkEnd w:id="36"/>
    <w:bookmarkEnd w:id="37"/>
    <w:bookmarkEnd w:id="38"/>
    <w:bookmarkStart w:id="39" w:name="X8c86c66b5a02895434973ca26344927ee08035b"/>
    <w:p>
      <w:pPr>
        <w:pStyle w:val="Heading3"/>
      </w:pPr>
      <w:r>
        <w:t xml:space="preserve">Summary of GHG Emissions per Functional Unit (1.0 unit of vrgdqndeiz):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GHG Scope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</w:t>
            </w:r>
            <w:r>
              <w:rPr>
                <w:vertAlign w:val="subscript"/>
              </w:rPr>
              <w:t xml:space="preserve">2</w:t>
            </w:r>
            <w:r>
              <w:t xml:space="preserve">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Operations (Production)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Electricity (Production)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2.70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Upstream Materials (Category 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18.11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Upstream/Downstream Transport (Category 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Use Phase (Category 11)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End-of-Life (Category 12)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-0.79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Product Carbon Footprint (Cradle-to-Grave)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35.27</w:t>
            </w:r>
          </w:p>
        </w:tc>
      </w:tr>
    </w:tbl>
    <w:p>
      <w:pPr>
        <w:pStyle w:val="BodyText"/>
      </w:pPr>
      <w:r>
        <w:t xml:space="preserve">The total Product Carbon Footprint for one unit of vrgdqndeiz, following a comprehensive cradle-to-grave</w:t>
      </w:r>
      <w:r>
        <w:t xml:space="preserve"> </w:t>
      </w:r>
      <w:r>
        <w:t xml:space="preserve">assessment, is approximately</w:t>
      </w:r>
      <w:r>
        <w:t xml:space="preserve"> </w:t>
      </w:r>
      <w:r>
        <w:rPr>
          <w:bCs/>
          <w:b/>
        </w:rPr>
        <w:t xml:space="preserve">35.27 kgCO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  <w:r>
        <w:t xml:space="preserve">.</w:t>
      </w:r>
    </w:p>
    <w:bookmarkEnd w:id="39"/>
    <w:bookmarkStart w:id="40" w:name="X5a4f551c90074bc557f30e0af419a5f70a48401"/>
    <w:p>
      <w:pPr>
        <w:pStyle w:val="Heading3"/>
      </w:pPr>
      <w:r>
        <w:t xml:space="preserve">2026 Land Sector and Removals (LSR) Standard Application:</w:t>
      </w:r>
    </w:p>
    <w:p>
      <w:pPr>
        <w:pStyle w:val="FirstParagraph"/>
      </w:pPr>
      <w:r>
        <w:t xml:space="preserve">The 2026 LSR Standard for land use and carbon removals has been considered. As no specific data on</w:t>
      </w:r>
      <w:r>
        <w:t xml:space="preserve"> </w:t>
      </w:r>
      <w:r>
        <w:t xml:space="preserve">land-intensive materials (e.g., forestry products from new plantations, bioenergy feedstocks with specific LUC impacts)</w:t>
      </w:r>
      <w:r>
        <w:t xml:space="preserve"> </w:t>
      </w:r>
      <w:r>
        <w:t xml:space="preserve">or direct carbon removal technologies (e.g., DAC, BECCS) was provided for vrgdqndeiz,</w:t>
      </w:r>
      <w:r>
        <w:t xml:space="preserve"> </w:t>
      </w:r>
      <w:r>
        <w:t xml:space="preserve">the current calculation primarily reflects industrial emissions. If such activities were present,</w:t>
      </w:r>
      <w:r>
        <w:t xml:space="preserve"> </w:t>
      </w:r>
      <w:r>
        <w:t xml:space="preserve">the LSR Standard would guide the quantification of GHG fluxes from land use change and biogenic carbon,</w:t>
      </w:r>
      <w:r>
        <w:t xml:space="preserve"> </w:t>
      </w:r>
      <w:r>
        <w:t xml:space="preserve">ensuring transparent reporting of removals and emissions, and preventing double-counting or misrepresentation</w:t>
      </w:r>
      <w:r>
        <w:t xml:space="preserve"> </w:t>
      </w:r>
      <w:r>
        <w:t xml:space="preserve">of biogenic carbon.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6" w:name="review-report"/>
    <w:p>
      <w:pPr>
        <w:pStyle w:val="Heading2"/>
      </w:pPr>
      <w:r>
        <w:t xml:space="preserve">5. Review &amp; Report</w:t>
      </w:r>
    </w:p>
    <w:bookmarkStart w:id="42" w:name="emission-hotspots"/>
    <w:p>
      <w:pPr>
        <w:pStyle w:val="Heading3"/>
      </w:pPr>
      <w:r>
        <w:t xml:space="preserve">Emission Hotspots</w:t>
      </w:r>
    </w:p>
    <w:p>
      <w:pPr>
        <w:pStyle w:val="FirstParagraph"/>
      </w:pPr>
      <w:r>
        <w:t xml:space="preserve">Based on the calculations, the primary emission hotspots for vrgdqndeiz are: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Upstream Materials (Scope 3, Category 1):</w:t>
      </w:r>
      <w:r>
        <w:t xml:space="preserve"> </w:t>
      </w:r>
      <w:r>
        <w:t xml:space="preserve">This category represents the largest portion of the footprint at 18.11 kgCO</w:t>
      </w:r>
      <w:r>
        <w:rPr>
          <w:vertAlign w:val="subscript"/>
        </w:rPr>
        <w:t xml:space="preserve">2</w:t>
      </w:r>
      <w:r>
        <w:t xml:space="preserve">e, mainly driven by the Aluminum Casing, Circuit Board, Lithium-ion Battery, and Silicon Microchip. Efforts should focus on sourcing lower-carbon materials, optimizing material use, and engaging suppliers on their decarbonization efforts.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Use Phase (Scope 3, Category 11):</w:t>
      </w:r>
      <w:r>
        <w:t xml:space="preserve"> </w:t>
      </w:r>
      <w:r>
        <w:t xml:space="preserve">The energy consumed during the product\'s 5-year lifespan contributes significantly with 15.00 kgCO</w:t>
      </w:r>
      <w:r>
        <w:rPr>
          <w:vertAlign w:val="subscript"/>
        </w:rPr>
        <w:t xml:space="preserve">2</w:t>
      </w:r>
      <w:r>
        <w:t xml:space="preserve">e. Improving energy efficiency of the product and promoting renewable energy adoption by consumers are crucial.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Production Energy (Scope 2):</w:t>
      </w:r>
      <w:r>
        <w:t xml:space="preserve"> </w:t>
      </w:r>
      <w:r>
        <w:t xml:space="preserve">Purchased electricity for manufacturing accounts for 2.70 kgCO</w:t>
      </w:r>
      <w:r>
        <w:rPr>
          <w:vertAlign w:val="subscript"/>
        </w:rPr>
        <w:t xml:space="preserve">2</w:t>
      </w:r>
      <w:r>
        <w:t xml:space="preserve">e. Increasing renewable energy procurement beyond the current 70% for manufacturing operations would further reduce this impact.</w:t>
      </w:r>
    </w:p>
    <w:bookmarkEnd w:id="42"/>
    <w:bookmarkStart w:id="43" w:name="reliability-and-limitations"/>
    <w:p>
      <w:pPr>
        <w:pStyle w:val="Heading3"/>
      </w:pPr>
      <w:r>
        <w:t xml:space="preserve">Reliability and Limitations</w:t>
      </w:r>
    </w:p>
    <w:p>
      <w:pPr>
        <w:pStyle w:val="FirstParagraph"/>
      </w:pPr>
      <w:r>
        <w:t xml:space="preserve">This report provides a high-detail PCF analysis based on the parameters and illustrative data provided.</w:t>
      </w:r>
      <w:r>
        <w:t xml:space="preserve"> </w:t>
      </w:r>
      <w:r>
        <w:t xml:space="preserve">The reliability of the results is contingent on the accuracy and completeness of the input data.</w:t>
      </w:r>
      <w:r>
        <w:t xml:space="preserve"> </w:t>
      </w:r>
      <w:r>
        <w:t xml:space="preserve">While industry-standard emission factors are used, primary, site-specific data would enhance accuracy further.</w:t>
      </w:r>
      <w:r>
        <w:t xml:space="preserve"> </w:t>
      </w:r>
      <w:r>
        <w:t xml:space="preserve">The use of illustrative values for unspecified parameters means the absolute numerical results should be</w:t>
      </w:r>
      <w:r>
        <w:t xml:space="preserve"> </w:t>
      </w:r>
      <w:r>
        <w:t xml:space="preserve">interpreted as indicative rather than definitive for an actual product. However, the methodology and</w:t>
      </w:r>
      <w:r>
        <w:t xml:space="preserve"> </w:t>
      </w:r>
      <w:r>
        <w:t xml:space="preserve">identification of hotspots remain robust for guiding sustainability strategies.</w:t>
      </w:r>
    </w:p>
    <w:bookmarkEnd w:id="43"/>
    <w:bookmarkStart w:id="45" w:name="recommendations-for-fwwvrknrih"/>
    <w:p>
      <w:pPr>
        <w:pStyle w:val="Heading3"/>
      </w:pPr>
      <w:r>
        <w:t xml:space="preserve">Recommendations for fwwvrknrih: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Material Decarbonization:</w:t>
      </w:r>
      <w:r>
        <w:t xml:space="preserve"> </w:t>
      </w:r>
      <w:r>
        <w:t xml:space="preserve">Collaborate with suppliers to identify lower-carbon alternatives for high-impact materials (Aluminum, Silicon, Lithium). Explore opportunities for increased recycled content or design for modularity to extend material life.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Energy Efficiency in Use:</w:t>
      </w:r>
      <w:r>
        <w:t xml:space="preserve"> </w:t>
      </w:r>
      <w:r>
        <w:t xml:space="preserve">Invest in R&amp;D to reduce the energy consumption of vrgdqndeiz during its operational lifespan. Educate consumers on efficient usage and the benefits of renewable energy.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Renewable Energy Expansion:</w:t>
      </w:r>
      <w:r>
        <w:t xml:space="preserve"> </w:t>
      </w:r>
      <w:r>
        <w:t xml:space="preserve">Continue to increase the percentage of renewable energy used in production facilities, aiming for 100% where feasible, to further reduce Scope 2 emissions.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Investigate opportunities to optimize transport routes, consolidate shipments, and explore lower-emission transport modes for both upstream and downstream logistics, especially within Europe\'s focus.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Circular Economy Integration:</w:t>
      </w:r>
      <w:r>
        <w:t xml:space="preserve"> </w:t>
      </w:r>
      <w:r>
        <w:t xml:space="preserve">Leverage the existing circular/take-back programs and high recyclability to minimize end-of-life impacts and explore further opportunities for material loops.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  <w:bookmarkStart w:id="44" w:name="page-number"/>
      <w:bookmarkEnd w:id="44"/>
    </w:p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vrgdqndeiz</dc:title>
  <dc:creator/>
  <dc:description>Detailed Product Carbon Footprint (PCF) analysis report for vrgdqndeiz, conducted by oelynimvvw, Senior Sustainability Consultant at fwwvrknrih, adhering to GHG Protocol and 2026 LSR Update.</dc:description>
  <dc:language>en</dc:language>
  <cp:keywords/>
  <dcterms:created xsi:type="dcterms:W3CDTF">2026-07-15T05:32:08Z</dcterms:created>
  <dcterms:modified xsi:type="dcterms:W3CDTF">2026-07-15T05:32:08Z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