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vqngysnhkx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vqngysnhkx</w:t>
      </w:r>
    </w:p>
    <w:p>
      <w:pPr>
        <w:pStyle w:val="BodyText"/>
      </w:pPr>
      <w:r>
        <w:rPr>
          <w:bCs/>
          <w:b/>
        </w:rPr>
        <w:t xml:space="preserve">Company Name:</w:t>
      </w:r>
      <w:r>
        <w:t xml:space="preserve"> </w:t>
      </w:r>
      <w:r>
        <w:t xml:space="preserve">owvyjuinvh</w:t>
      </w:r>
    </w:p>
    <w:p>
      <w:pPr>
        <w:pStyle w:val="BodyText"/>
      </w:pPr>
      <w:r>
        <w:rPr>
          <w:bCs/>
          <w:b/>
        </w:rPr>
        <w:t xml:space="preserve">Senior Sustainability Consultant:</w:t>
      </w:r>
      <w:r>
        <w:t xml:space="preserve"> </w:t>
      </w:r>
      <w:r>
        <w:t xml:space="preserve">ldvexdyyqn</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the actual environmental impact may vary depending on specific operational details and data precision.</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vqngysnhkx</w:t>
      </w:r>
      <w:r>
        <w:t xml:space="preserve">, manufactured by</w:t>
      </w:r>
      <w:r>
        <w:t xml:space="preserve"> </w:t>
      </w:r>
      <w:r>
        <w:rPr>
          <w:bCs/>
          <w:b/>
        </w:rPr>
        <w:t xml:space="preserve">owvyjuinvh</w:t>
      </w:r>
      <w:r>
        <w:t xml:space="preserve">. Conducted by Senior Sustainability Consultant</w:t>
      </w:r>
      <w:r>
        <w:t xml:space="preserve"> </w:t>
      </w:r>
      <w:r>
        <w:rPr>
          <w:bCs/>
          <w:b/>
        </w:rPr>
        <w:t xml:space="preserve">ldvexdyyqn</w:t>
      </w:r>
      <w:r>
        <w:t xml:space="preserve">, this analysis adheres strictly to the GHG Protocol, including the 2026 Land Sector and Removals (LSR) Standard and aims for at least 95% Scope 3 coverage. The primary goal is to quantify the greenhouse gas emissions associated with the product\'s lifecycle, identify emission hotspots, and provide insights for reduction strategies, incorporating specific material, energy, transport, use-phase, and end-of-life data. The total calculated carbon footprint for one functional unit of vqngysnhkx is approximately 46.29 kgCO2e, with material production and the use phase being the dominant contributors.</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vqngysnhkx.</w:t>
      </w:r>
    </w:p>
    <w:bookmarkEnd w:id="23"/>
    <w:bookmarkStart w:id="24" w:name="system-boundary"/>
    <w:p>
      <w:pPr>
        <w:pStyle w:val="Heading3"/>
      </w:pPr>
      <w:r>
        <w:t xml:space="preserve">1.2 System Boundary</w:t>
      </w:r>
    </w:p>
    <w:p>
      <w:pPr>
        <w:pStyle w:val="FirstParagraph"/>
      </w:pPr>
      <w:r>
        <w:t xml:space="preserve">The system boundary for this PCF analysis is primarily "</w:t>
      </w:r>
      <w:r>
        <w:rPr>
          <w:bCs/>
          <w:b/>
        </w:rPr>
        <w:t xml:space="preserve">factory_gate</w:t>
      </w:r>
      <w:r>
        <w:t xml:space="preserve">" (cradle-to-gate). However, as per the report requirements, the analysis has been expanded to include emissions from the Use Phase and End-of-Life (EoL) to provide a more comprehensive lifecycle perspective, albeit these stages technically extend beyond a strict factory-gate boundary.</w:t>
      </w:r>
    </w:p>
    <w:bookmarkEnd w:id="24"/>
    <w:bookmarkStart w:id="25" w:name="geographic-scope"/>
    <w:p>
      <w:pPr>
        <w:pStyle w:val="Heading3"/>
      </w:pPr>
      <w:r>
        <w:t xml:space="preserve">1.3 Geographic Scope</w:t>
      </w:r>
    </w:p>
    <w:p>
      <w:pPr>
        <w:pStyle w:val="FirstParagraph"/>
      </w:pPr>
      <w:r>
        <w:t xml:space="preserve">The final production country for vqngysnhkx is</w:t>
      </w:r>
      <w:r>
        <w:t xml:space="preserve"> </w:t>
      </w:r>
      <w:r>
        <w:rPr>
          <w:bCs/>
          <w:b/>
        </w:rPr>
        <w:t xml:space="preserve">China</w:t>
      </w:r>
      <w:r>
        <w:t xml:space="preserve">. The supply chain focus for raw materials and components is primarily</w:t>
      </w:r>
      <w:r>
        <w:t xml:space="preserve"> </w:t>
      </w:r>
      <w:r>
        <w:rPr>
          <w:bCs/>
          <w:b/>
        </w:rPr>
        <w:t xml:space="preserve">Europe Focused</w:t>
      </w:r>
      <w:r>
        <w:t xml:space="preserve">, implying significant inbound transport from European suppliers to the Chinese manufacturing facility. The use phase emissions are considered for a typical European end-user context.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This includes categorization of emissions into Scope 1, Scope 2, and Scope 3 as detailed below.</w:t>
      </w:r>
    </w:p>
    <w:p>
      <w:pPr>
        <w:numPr>
          <w:ilvl w:val="0"/>
          <w:numId w:val="1001"/>
        </w:numPr>
        <w:pStyle w:val="Compact"/>
      </w:pPr>
      <w:r>
        <w:rPr>
          <w:bCs/>
          <w:b/>
        </w:rPr>
        <w:t xml:space="preserve">Scope 1: Direct GHG Emissions</w:t>
      </w:r>
      <w:r>
        <w:t xml:space="preserve"> </w:t>
      </w:r>
      <w:r>
        <w:t xml:space="preserve">- Emissions from sources owned or controlled by the company (e.g., fuel combustion in owned vehicles or facilities). For this PCF, direct Scope 1 emissions at the manufacturing facility would typically be considered but are assumed minimal or integrated into direct energy consumption for the product.</w:t>
      </w:r>
    </w:p>
    <w:p>
      <w:pPr>
        <w:numPr>
          <w:ilvl w:val="0"/>
          <w:numId w:val="1001"/>
        </w:numPr>
        <w:pStyle w:val="Compact"/>
      </w:pPr>
      <w:r>
        <w:rPr>
          <w:bCs/>
          <w:b/>
        </w:rPr>
        <w:t xml:space="preserve">Scope 2: Energy Indirect GHG Emissions</w:t>
      </w:r>
      <w:r>
        <w:t xml:space="preserve"> </w:t>
      </w:r>
      <w:r>
        <w:t xml:space="preserve">- Emissions from the generation of purchased electricity, heat, or steam consumed by the company. This applies to the energy consumed during the manufacturing of vqngysnhkx.</w:t>
      </w:r>
    </w:p>
    <w:p>
      <w:pPr>
        <w:numPr>
          <w:ilvl w:val="0"/>
          <w:numId w:val="1001"/>
        </w:numPr>
        <w:pStyle w:val="Compact"/>
      </w:pPr>
      <w:r>
        <w:rPr>
          <w:bCs/>
          <w:b/>
        </w:rPr>
        <w:t xml:space="preserve">Scope 3: Other Indirect GHG Emissions</w:t>
      </w:r>
      <w:r>
        <w:t xml:space="preserve"> </w:t>
      </w:r>
      <w:r>
        <w:t xml:space="preserve">- All other indirect emissions that occur in the value chain of the reporting company, both upstream and downstream. This includes emissions from purchased goods and services (materials), transportation and distribution, use of sold products, and end-of-life treatment of sold products.</w:t>
      </w:r>
    </w:p>
    <w:p>
      <w:pPr>
        <w:pStyle w:val="FirstParagraph"/>
      </w:pPr>
      <w:r>
        <w:rPr>
          <w:bCs/>
          <w:b/>
        </w:rPr>
        <w:t xml:space="preserve">2026 Land Sector and Removals (LSR) Standard Update:</w:t>
      </w:r>
      <w:r>
        <w:t xml:space="preserve"> </w:t>
      </w:r>
      <w:r>
        <w:t xml:space="preserve">In line with upcoming requirements, this analysis considers the Land Sector and Removals (LSR) Standard for land use and carbon removals. While specific land-use changes directly attributable to vqngysnhkx\'s components are not precisely quantified without more granular data, the principle of accounting for land-based emissions and removals is acknowledged and integrated where applicable through emission factors that encompass these impacts. Specific data would be required for a full LSR assessment.</w:t>
      </w:r>
    </w:p>
    <w:p>
      <w:pPr>
        <w:pStyle w:val="BodyText"/>
      </w:pPr>
      <w:r>
        <w:rPr>
          <w:bCs/>
          <w:b/>
        </w:rPr>
        <w:t xml:space="preserve">Scope 3 Compliance (2026 Requirements):</w:t>
      </w:r>
      <w:r>
        <w:t xml:space="preserve"> </w:t>
      </w:r>
      <w:r>
        <w:t xml:space="preserve">This report ensures a robust coverage for Scope 3 emissions, targeting at least 95% coverage as per anticipated 2026 GHG Protocol requirements. All significant upstream and downstream categories relevant to a product\'s lifecycle are considered to meet this compliance level.</w:t>
      </w:r>
    </w:p>
    <w:bookmarkEnd w:id="26"/>
    <w:bookmarkStart w:id="27" w:name="allocation"/>
    <w:p>
      <w:pPr>
        <w:pStyle w:val="Heading3"/>
      </w:pPr>
      <w:r>
        <w:t xml:space="preserve">1.5 Allocation</w:t>
      </w:r>
    </w:p>
    <w:p>
      <w:pPr>
        <w:pStyle w:val="FirstParagraph"/>
      </w:pPr>
      <w:r>
        <w:t xml:space="preserve">Emissions are directly allocated to the functional unit (1.0 unit of vqngysnhkx) based on the quantities of materials, energy, and services consumed during its lifecycle.</w:t>
      </w:r>
    </w:p>
    <w:bookmarkEnd w:id="27"/>
    <w:bookmarkEnd w:id="28"/>
    <w:p>
      <w:r>
        <w:pict>
          <v:rect style="width:0;height:1.5pt" o:hralign="center" o:hrstd="t" o:hr="t"/>
        </w:pict>
      </w:r>
    </w:p>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vqngysnhkx is mapped across key stages: Material Acquisition &amp; Pre-processing, Manufacturing, Transportation &amp; Distribution, Use Phase, and End-of-Life. Data collection focused on primary data where available (BOM, energy usage) and secondary data from industry-standard emission factor databases (e.g., Ecoinvent, DEFRA) for generic processes and energy grids.</w:t>
      </w:r>
    </w:p>
    <w:bookmarkStart w:id="29" w:name="X982c326fb93613d4d5b2ea0769a7e370cfc78fa"/>
    <w:p>
      <w:pPr>
        <w:pStyle w:val="Heading3"/>
      </w:pPr>
      <w:r>
        <w:t xml:space="preserve">3.1 Detailed Bill of Materials (BOM) &amp; Material Inputs</w:t>
      </w:r>
    </w:p>
    <w:p>
      <w:pPr>
        <w:pStyle w:val="FirstParagraph"/>
      </w:pPr>
      <w:r>
        <w:t xml:space="preserve">The following table details the Bill of Materials (BOM) for vqngysnhkx, including quantities, units, and associated carbon emissions based on provided emission factors.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6"/>
          </w:tcPr>
          <w:p>
            <w:pPr>
              <w:pStyle w:val="Compact"/>
              <w:jc w:val="right"/>
            </w:pPr>
            <w:r>
              <w:rPr>
                <w:bCs/>
                <w:b/>
              </w:rPr>
              <w:t xml:space="preserve">Total Material Weight:</w:t>
            </w:r>
          </w:p>
        </w:tc>
        <w:tc>
          <w:tcPr/>
          <w:p>
            <w:pPr>
              <w:pStyle w:val="Compact"/>
            </w:pPr>
          </w:p>
        </w:tc>
        <w:tc>
          <w:tcPr/>
          <w:p>
            <w:pPr>
              <w:pStyle w:val="Compact"/>
              <w:jc w:val="left"/>
            </w:pPr>
            <w:r>
              <w:rPr>
                <w:bCs/>
                <w:b/>
              </w:rPr>
              <w:t xml:space="preserve">10.85 kg</w:t>
            </w:r>
          </w:p>
        </w:tc>
      </w:tr>
      <w:tr>
        <w:tc>
          <w:tcPr>
            <w:gridSpan w:val="6"/>
          </w:tcPr>
          <w:p>
            <w:pPr>
              <w:pStyle w:val="Compact"/>
              <w:jc w:val="right"/>
            </w:pPr>
            <w:r>
              <w:rPr>
                <w:bCs/>
                <w:b/>
              </w:rPr>
              <w:t xml:space="preserve">Total Material Carbon Footprint:</w:t>
            </w:r>
          </w:p>
        </w:tc>
        <w:tc>
          <w:tcPr/>
          <w:p>
            <w:pPr>
              <w:pStyle w:val="Compact"/>
            </w:pPr>
          </w:p>
        </w:tc>
        <w:tc>
          <w:tcPr/>
          <w:p>
            <w:pPr>
              <w:pStyle w:val="Compact"/>
              <w:jc w:val="left"/>
            </w:pPr>
            <w:r>
              <w:rPr>
                <w:bCs/>
                <w:b/>
              </w:rPr>
              <w:t xml:space="preserve">28.05 kgCO2e</w:t>
            </w:r>
          </w:p>
        </w:tc>
      </w:tr>
    </w:tbl>
    <w:bookmarkEnd w:id="29"/>
    <w:bookmarkStart w:id="30" w:name="energy-inputs-manufacturing-phase"/>
    <w:p>
      <w:pPr>
        <w:pStyle w:val="Heading3"/>
      </w:pPr>
      <w:r>
        <w:t xml:space="preserve">3.2 Energy Inputs (Manufacturing Phase)</w:t>
      </w:r>
    </w:p>
    <w:p>
      <w:pPr>
        <w:pStyle w:val="FirstParagraph"/>
      </w:pPr>
      <w:r>
        <w:t xml:space="preserve">The production phase of vqngysnhkx at the manufacturing facility in China utilizes the following energy data:</w:t>
      </w:r>
    </w:p>
    <w:p>
      <w:pPr>
        <w:numPr>
          <w:ilvl w:val="0"/>
          <w:numId w:val="1002"/>
        </w:numPr>
        <w:pStyle w:val="Compact"/>
      </w:pPr>
      <w:r>
        <w:rPr>
          <w:bCs/>
          <w:b/>
        </w:rPr>
        <w:t xml:space="preserve">Energy Intensity (kWh/unit):</w:t>
      </w:r>
      <w:r>
        <w:t xml:space="preserve"> </w:t>
      </w:r>
      <w:r>
        <w:t xml:space="preserve">15 kWh</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Grid Energy Usage:</w:t>
      </w:r>
      <w:r>
        <w:t xml:space="preserve"> </w:t>
      </w:r>
      <w:r>
        <w:t xml:space="preserve">40%</w:t>
      </w:r>
    </w:p>
    <w:p>
      <w:pPr>
        <w:pStyle w:val="FirstParagraph"/>
      </w:pPr>
      <w:r>
        <w:rPr>
          <w:iCs/>
          <w:i/>
        </w:rPr>
        <w:t xml:space="preserve">Assumed Emission Factors:</w:t>
      </w:r>
    </w:p>
    <w:p>
      <w:pPr>
        <w:numPr>
          <w:ilvl w:val="0"/>
          <w:numId w:val="1003"/>
        </w:numPr>
        <w:pStyle w:val="Compact"/>
      </w:pPr>
      <w:r>
        <w:t xml:space="preserve">China Electricity Grid Mix Emission Factor: 0.7 kgCO2e/kWh</w:t>
      </w:r>
    </w:p>
    <w:p>
      <w:pPr>
        <w:numPr>
          <w:ilvl w:val="0"/>
          <w:numId w:val="1003"/>
        </w:numPr>
        <w:pStyle w:val="Compact"/>
      </w:pPr>
      <w:r>
        <w:t xml:space="preserve">Renewable Electricity Emission Factor: 0.01 kgCO2e/kWh (accounting for minor upstream emissions)</w:t>
      </w:r>
    </w:p>
    <w:bookmarkEnd w:id="30"/>
    <w:bookmarkStart w:id="31" w:name="logistics-data-transportation"/>
    <w:p>
      <w:pPr>
        <w:pStyle w:val="Heading3"/>
      </w:pPr>
      <w:r>
        <w:t xml:space="preserve">3.3 Logistics Data (Transportation)</w:t>
      </w:r>
    </w:p>
    <w:p>
      <w:pPr>
        <w:pStyle w:val="FirstParagraph"/>
      </w:pPr>
      <w:r>
        <w:t xml:space="preserve">Transportation data for the supply chain and last-mile delivery are as follows:</w:t>
      </w:r>
    </w:p>
    <w:p>
      <w:pPr>
        <w:numPr>
          <w:ilvl w:val="0"/>
          <w:numId w:val="1004"/>
        </w:numPr>
        <w:pStyle w:val="Compact"/>
      </w:pPr>
      <w:r>
        <w:rPr>
          <w:bCs/>
          <w:b/>
        </w:rPr>
        <w:t xml:space="preserve">Inbound Transport Mode (Raw Materials/Components to Factory):</w:t>
      </w:r>
      <w:r>
        <w:t xml:space="preserve"> </w:t>
      </w:r>
      <w:r>
        <w:t xml:space="preserve">Ocean Freight</w:t>
      </w:r>
    </w:p>
    <w:p>
      <w:pPr>
        <w:numPr>
          <w:ilvl w:val="0"/>
          <w:numId w:val="1004"/>
        </w:numPr>
        <w:pStyle w:val="Compact"/>
      </w:pPr>
      <w:r>
        <w:rPr>
          <w:bCs/>
          <w:b/>
        </w:rPr>
        <w:t xml:space="preserve">Inbound Transport Distance (Average):</w:t>
      </w:r>
      <w:r>
        <w:t xml:space="preserve"> </w:t>
      </w:r>
      <w:r>
        <w:t xml:space="preserve">5000 km (Assumed for Europe to China route)</w:t>
      </w:r>
    </w:p>
    <w:p>
      <w:pPr>
        <w:numPr>
          <w:ilvl w:val="0"/>
          <w:numId w:val="1004"/>
        </w:numPr>
        <w:pStyle w:val="Compact"/>
      </w:pPr>
      <w:r>
        <w:rPr>
          <w:bCs/>
          <w:b/>
        </w:rPr>
        <w:t xml:space="preserve">Last-Mile Delivery Channel (Factory to Customer):</w:t>
      </w:r>
      <w:r>
        <w:t xml:space="preserve"> </w:t>
      </w:r>
      <w:r>
        <w:t xml:space="preserve">Road Freight (Heavy Duty Truck)</w:t>
      </w:r>
    </w:p>
    <w:p>
      <w:pPr>
        <w:numPr>
          <w:ilvl w:val="0"/>
          <w:numId w:val="1004"/>
        </w:numPr>
        <w:pStyle w:val="Compact"/>
      </w:pPr>
      <w:r>
        <w:rPr>
          <w:bCs/>
          <w:b/>
        </w:rPr>
        <w:t xml:space="preserve">Last-Mile Delivery Distance (Average):</w:t>
      </w:r>
      <w:r>
        <w:t xml:space="preserve"> </w:t>
      </w:r>
      <w:r>
        <w:t xml:space="preserve">200 km (Assumed for typical European distribution)</w:t>
      </w:r>
    </w:p>
    <w:p>
      <w:pPr>
        <w:pStyle w:val="FirstParagraph"/>
      </w:pPr>
      <w:r>
        <w:t xml:space="preserve">The total weight of the product for transport calculations is assumed to be 10.85 kg (0.01085 tonnes).</w:t>
      </w:r>
    </w:p>
    <w:p>
      <w:pPr>
        <w:pStyle w:val="BodyText"/>
      </w:pPr>
      <w:r>
        <w:rPr>
          <w:iCs/>
          <w:i/>
        </w:rPr>
        <w:t xml:space="preserve">Assumed Emission Factors:</w:t>
      </w:r>
    </w:p>
    <w:p>
      <w:pPr>
        <w:numPr>
          <w:ilvl w:val="0"/>
          <w:numId w:val="1005"/>
        </w:numPr>
        <w:pStyle w:val="Compact"/>
      </w:pPr>
      <w:r>
        <w:t xml:space="preserve">Ocean Freight Emission Factor: 0.01 kgCO2e/tonne-km</w:t>
      </w:r>
    </w:p>
    <w:p>
      <w:pPr>
        <w:numPr>
          <w:ilvl w:val="0"/>
          <w:numId w:val="1005"/>
        </w:numPr>
        <w:pStyle w:val="Compact"/>
      </w:pPr>
      <w:r>
        <w:t xml:space="preserve">Road Freight (Heavy Duty Truck) Emission Factor: 0.1 kgCO2e/tonne-km</w:t>
      </w:r>
    </w:p>
    <w:bookmarkEnd w:id="31"/>
    <w:bookmarkStart w:id="32" w:name="use-phase-data"/>
    <w:p>
      <w:pPr>
        <w:pStyle w:val="Heading3"/>
      </w:pPr>
      <w:r>
        <w:t xml:space="preserve">3.4 Use Phase Data</w:t>
      </w:r>
    </w:p>
    <w:p>
      <w:pPr>
        <w:pStyle w:val="FirstParagraph"/>
      </w:pPr>
      <w:r>
        <w:t xml:space="preserve">The use phase of the product is characterized by the following parameters:</w:t>
      </w:r>
    </w:p>
    <w:p>
      <w:pPr>
        <w:numPr>
          <w:ilvl w:val="0"/>
          <w:numId w:val="1006"/>
        </w:numPr>
        <w:pStyle w:val="Compact"/>
      </w:pPr>
      <w:r>
        <w:rPr>
          <w:bCs/>
          <w:b/>
        </w:rPr>
        <w:t xml:space="preserve">Product Lifespan:</w:t>
      </w:r>
      <w:r>
        <w:t xml:space="preserve"> </w:t>
      </w:r>
      <w:r>
        <w:t xml:space="preserve">7 years (approximately 2555 days)</w:t>
      </w:r>
    </w:p>
    <w:p>
      <w:pPr>
        <w:numPr>
          <w:ilvl w:val="0"/>
          <w:numId w:val="1006"/>
        </w:numPr>
        <w:pStyle w:val="Compact"/>
      </w:pPr>
      <w:r>
        <w:rPr>
          <w:bCs/>
          <w:b/>
        </w:rPr>
        <w:t xml:space="preserve">Energy Consumption in Use:</w:t>
      </w:r>
      <w:r>
        <w:t xml:space="preserve"> </w:t>
      </w:r>
      <w:r>
        <w:t xml:space="preserve">0.02 kWh/day</w:t>
      </w:r>
    </w:p>
    <w:p>
      <w:pPr>
        <w:pStyle w:val="FirstParagraph"/>
      </w:pPr>
      <w:r>
        <w:rPr>
          <w:iCs/>
          <w:i/>
        </w:rPr>
        <w:t xml:space="preserve">Assumed Emission Factor:</w:t>
      </w:r>
    </w:p>
    <w:p>
      <w:pPr>
        <w:numPr>
          <w:ilvl w:val="0"/>
          <w:numId w:val="1007"/>
        </w:numPr>
        <w:pStyle w:val="Compact"/>
      </w:pPr>
      <w:r>
        <w:t xml:space="preserve">European Electricity Grid Mix Emission Factor: 0.25 kgCO2e/kWh</w:t>
      </w:r>
    </w:p>
    <w:bookmarkEnd w:id="32"/>
    <w:bookmarkStart w:id="33" w:name="end-of-life-eol-scenarios"/>
    <w:p>
      <w:pPr>
        <w:pStyle w:val="Heading3"/>
      </w:pPr>
      <w:r>
        <w:t xml:space="preserve">3.5 End-of-Life (EoL) Scenarios</w:t>
      </w:r>
    </w:p>
    <w:p>
      <w:pPr>
        <w:pStyle w:val="FirstParagraph"/>
      </w:pPr>
      <w:r>
        <w:t xml:space="preserve">The End-of-Life considerations for vqngysnhkx are:</w:t>
      </w:r>
    </w:p>
    <w:p>
      <w:pPr>
        <w:numPr>
          <w:ilvl w:val="0"/>
          <w:numId w:val="1008"/>
        </w:numPr>
        <w:pStyle w:val="Compact"/>
      </w:pPr>
      <w:r>
        <w:rPr>
          <w:bCs/>
          <w:b/>
        </w:rPr>
        <w:t xml:space="preserve">Recyclability Percentage:</w:t>
      </w:r>
      <w:r>
        <w:t xml:space="preserve"> </w:t>
      </w:r>
      <w:r>
        <w:t xml:space="preserve">75%</w:t>
      </w:r>
    </w:p>
    <w:p>
      <w:pPr>
        <w:numPr>
          <w:ilvl w:val="0"/>
          <w:numId w:val="1008"/>
        </w:numPr>
        <w:pStyle w:val="Compact"/>
      </w:pPr>
      <w:r>
        <w:rPr>
          <w:bCs/>
          <w:b/>
        </w:rPr>
        <w:t xml:space="preserve">Circular/Take-back Programs:</w:t>
      </w:r>
      <w:r>
        <w:t xml:space="preserve"> </w:t>
      </w:r>
      <w:r>
        <w:t xml:space="preserve">Yes, regional collection points available.</w:t>
      </w:r>
    </w:p>
    <w:p>
      <w:pPr>
        <w:pStyle w:val="FirstParagraph"/>
      </w:pPr>
      <w:r>
        <w:rPr>
          <w:iCs/>
          <w:i/>
        </w:rPr>
        <w:t xml:space="preserve">Assumed Emission Factors/Considerations:</w:t>
      </w:r>
    </w:p>
    <w:p>
      <w:pPr>
        <w:numPr>
          <w:ilvl w:val="0"/>
          <w:numId w:val="1009"/>
        </w:numPr>
        <w:pStyle w:val="Compact"/>
      </w:pPr>
      <w:r>
        <w:t xml:space="preserve">Waste to Landfill/Incineration Emission Factor (for non-recycled portion): 0.15 kgCO2e/kg</w:t>
      </w:r>
    </w:p>
    <w:p>
      <w:pPr>
        <w:numPr>
          <w:ilvl w:val="0"/>
          <w:numId w:val="1009"/>
        </w:numPr>
        <w:pStyle w:val="Compact"/>
      </w:pPr>
      <w:r>
        <w:t xml:space="preserve">Recycling is assumed to avoid a significant portion of virgin material production emissions, promoting circularity.</w:t>
      </w:r>
    </w:p>
    <w:bookmarkEnd w:id="33"/>
    <w:bookmarkEnd w:id="34"/>
    <w:p>
      <w:r>
        <w:pict>
          <v:rect style="width:0;height:1.5pt" o:hralign="center" o:hrstd="t" o:hr="t"/>
        </w:pict>
      </w:r>
    </w:p>
    <w:bookmarkStart w:id="37" w:name="Xb404f6bea4a0013006ec7a9103609d9ea6643c1"/>
    <w:p>
      <w:pPr>
        <w:pStyle w:val="Heading2"/>
      </w:pPr>
      <w:r>
        <w:t xml:space="preserve">4. Calculate Emissions (Activity * Emission Factor = CO2e)</w:t>
      </w:r>
    </w:p>
    <w:p>
      <w:pPr>
        <w:pStyle w:val="FirstParagraph"/>
      </w:pPr>
      <w:r>
        <w:t xml:space="preserve">The carbon footprint for one functional unit of vqngysnhkx is calculated by aggregating emissions across all lifecycle stages and categorizing them according to the GHG Protocol scopes.</w:t>
      </w:r>
    </w:p>
    <w:bookmarkStart w:id="35" w:name="Xdb0e5553c6fd6ab8f79555d506c5328f5f6dd87"/>
    <w:p>
      <w:pPr>
        <w:pStyle w:val="Heading3"/>
      </w:pPr>
      <w:r>
        <w:t xml:space="preserve">4.1 Emissions by Lifecycle Stage and GHG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(kgCO2e)</w:t>
            </w:r>
          </w:p>
        </w:tc>
        <w:tc>
          <w:tcPr/>
          <w:p>
            <w:pPr>
              <w:pStyle w:val="Compact"/>
              <w:jc w:val="left"/>
            </w:pPr>
            <w:r>
              <w:t xml:space="preserve">GHG Scope</w:t>
            </w:r>
          </w:p>
        </w:tc>
      </w:tr>
      <w:tr>
        <w:tc>
          <w:tcPr/>
          <w:p>
            <w:pPr>
              <w:pStyle w:val="Compact"/>
              <w:jc w:val="left"/>
            </w:pPr>
            <w:r>
              <w:rPr>
                <w:bCs/>
                <w:b/>
              </w:rPr>
              <w:t xml:space="preserve">Material Acquisition &amp; Pre-processing</w:t>
            </w:r>
          </w:p>
        </w:tc>
        <w:tc>
          <w:tcPr/>
          <w:p>
            <w:pPr>
              <w:pStyle w:val="Compact"/>
              <w:jc w:val="left"/>
            </w:pPr>
            <w:r>
              <w:t xml:space="preserve">Detailed BOM (10.85 kg total materials)</w:t>
            </w:r>
          </w:p>
        </w:tc>
        <w:tc>
          <w:tcPr/>
          <w:p>
            <w:pPr>
              <w:pStyle w:val="Compact"/>
              <w:jc w:val="left"/>
            </w:pPr>
            <w:r>
              <w:t xml:space="preserve">Variable (per material)</w:t>
            </w:r>
          </w:p>
        </w:tc>
        <w:tc>
          <w:tcPr/>
          <w:p>
            <w:pPr>
              <w:pStyle w:val="Compact"/>
              <w:jc w:val="left"/>
            </w:pPr>
            <w:r>
              <w:t xml:space="preserve">28.05</w:t>
            </w:r>
          </w:p>
        </w:tc>
        <w:tc>
          <w:tcPr/>
          <w:p>
            <w:pPr>
              <w:pStyle w:val="Compact"/>
              <w:jc w:val="left"/>
            </w:pPr>
            <w:r>
              <w:t xml:space="preserve">Scope 3 (Upstream)</w:t>
            </w:r>
          </w:p>
        </w:tc>
      </w:tr>
      <w:tr>
        <w:tc>
          <w:tcPr/>
          <w:p>
            <w:pPr>
              <w:pStyle w:val="Compact"/>
              <w:jc w:val="left"/>
            </w:pPr>
            <w:r>
              <w:rPr>
                <w:bCs/>
                <w:b/>
              </w:rPr>
              <w:t xml:space="preserve">Manufacturing (Energy)</w:t>
            </w:r>
          </w:p>
        </w:tc>
        <w:tc>
          <w:tcPr/>
          <w:p>
            <w:pPr>
              <w:pStyle w:val="Compact"/>
              <w:jc w:val="left"/>
            </w:pPr>
            <w:r>
              <w:t xml:space="preserve">15 kWh/unit (60% renewable)</w:t>
            </w:r>
          </w:p>
        </w:tc>
        <w:tc>
          <w:tcPr/>
          <w:p>
            <w:pPr>
              <w:pStyle w:val="Compact"/>
              <w:jc w:val="left"/>
            </w:pPr>
            <w:r>
              <w:t xml:space="preserve">0.7 kgCO2e/kWh (grid), 0.01 kgCO2e/kWh (renewable)</w:t>
            </w:r>
          </w:p>
        </w:tc>
        <w:tc>
          <w:tcPr/>
          <w:p>
            <w:pPr>
              <w:pStyle w:val="Compact"/>
              <w:jc w:val="left"/>
            </w:pPr>
            <w:r>
              <w:t xml:space="preserve">4.29</w:t>
            </w:r>
          </w:p>
        </w:tc>
        <w:tc>
          <w:tcPr/>
          <w:p>
            <w:pPr>
              <w:pStyle w:val="Compact"/>
              <w:jc w:val="left"/>
            </w:pPr>
            <w:r>
              <w:t xml:space="preserve">Scope 2</w:t>
            </w:r>
          </w:p>
        </w:tc>
      </w:tr>
      <w:tr>
        <w:tc>
          <w:tcPr>
            <w:vMerge w:val="restart"/>
          </w:tcPr>
          <w:p>
            <w:pPr>
              <w:pStyle w:val="Compact"/>
              <w:jc w:val="left"/>
            </w:pPr>
            <w:r>
              <w:rPr>
                <w:bCs/>
                <w:b/>
              </w:rPr>
              <w:t xml:space="preserve">Transportation &amp; Distribution</w:t>
            </w:r>
          </w:p>
        </w:tc>
        <w:tc>
          <w:tcPr/>
          <w:p>
            <w:pPr>
              <w:pStyle w:val="Compact"/>
              <w:jc w:val="left"/>
            </w:pPr>
            <w:r>
              <w:t xml:space="preserve">Inbound Ocean Freight: 0.01085 tonnes * 5000 km</w:t>
            </w:r>
          </w:p>
        </w:tc>
        <w:tc>
          <w:tcPr/>
          <w:p>
            <w:pPr>
              <w:pStyle w:val="Compact"/>
              <w:jc w:val="left"/>
            </w:pPr>
            <w:r>
              <w:t xml:space="preserve">0.01 kgCO2e/tonne-km</w:t>
            </w:r>
          </w:p>
        </w:tc>
        <w:tc>
          <w:tcPr/>
          <w:p>
            <w:pPr>
              <w:pStyle w:val="Compact"/>
              <w:jc w:val="left"/>
            </w:pPr>
            <w:r>
              <w:t xml:space="preserve">0.54</w:t>
            </w:r>
          </w:p>
        </w:tc>
        <w:tc>
          <w:tcPr>
            <w:vMerge w:val="restart"/>
          </w:tcPr>
          <w:p>
            <w:pPr>
              <w:pStyle w:val="Compact"/>
              <w:jc w:val="left"/>
            </w:pPr>
            <w:r>
              <w:t xml:space="preserve">Scope 3 (Upstream)</w:t>
            </w:r>
          </w:p>
        </w:tc>
      </w:tr>
      <w:tr>
        <w:tc>
          <w:tcPr>
            <w:gridSpan w:val="1"/>
            <w:vMerge w:val="continue"/>
          </w:tcPr>
          <w:p>
            <w:pPr/>
          </w:p>
        </w:tc>
        <w:tc>
          <w:tcPr/>
          <w:p>
            <w:pPr>
              <w:pStyle w:val="Compact"/>
              <w:jc w:val="left"/>
            </w:pPr>
            <w:r>
              <w:t xml:space="preserve">Last-Mile Road Freight: 0.01085 tonnes * 200 km</w:t>
            </w:r>
          </w:p>
        </w:tc>
        <w:tc>
          <w:tcPr/>
          <w:p>
            <w:pPr>
              <w:pStyle w:val="Compact"/>
              <w:jc w:val="left"/>
            </w:pPr>
            <w:r>
              <w:t xml:space="preserve">0.1 kgCO2e/tonne-km</w:t>
            </w:r>
          </w:p>
        </w:tc>
        <w:tc>
          <w:tcPr/>
          <w:p>
            <w:pPr>
              <w:pStyle w:val="Compact"/>
              <w:jc w:val="left"/>
            </w:pPr>
            <w:r>
              <w:t xml:space="preserve">0.22</w:t>
            </w:r>
          </w:p>
        </w:tc>
        <w:tc>
          <w:tcPr>
            <w:gridSpan w:val="1"/>
            <w:vMerge w:val="continue"/>
          </w:tcPr>
          <w:p>
            <w:pPr/>
          </w:p>
        </w:tc>
      </w:tr>
      <w:tr>
        <w:tc>
          <w:tcPr/>
          <w:p>
            <w:pPr>
              <w:pStyle w:val="Compact"/>
              <w:jc w:val="left"/>
            </w:pPr>
            <w:r>
              <w:rPr>
                <w:bCs/>
                <w:b/>
              </w:rPr>
              <w:t xml:space="preserve">Use Phase</w:t>
            </w:r>
          </w:p>
        </w:tc>
        <w:tc>
          <w:tcPr/>
          <w:p>
            <w:pPr>
              <w:pStyle w:val="Compact"/>
              <w:jc w:val="left"/>
            </w:pPr>
            <w:r>
              <w:t xml:space="preserve">51.1 kWh over 7 years</w:t>
            </w:r>
          </w:p>
        </w:tc>
        <w:tc>
          <w:tcPr/>
          <w:p>
            <w:pPr>
              <w:pStyle w:val="Compact"/>
              <w:jc w:val="left"/>
            </w:pPr>
            <w:r>
              <w:t xml:space="preserve">0.25 kgCO2e/kWh (Europe grid)</w:t>
            </w:r>
          </w:p>
        </w:tc>
        <w:tc>
          <w:tcPr/>
          <w:p>
            <w:pPr>
              <w:pStyle w:val="Compact"/>
              <w:jc w:val="left"/>
            </w:pPr>
            <w:r>
              <w:t xml:space="preserve">12.78</w:t>
            </w:r>
          </w:p>
        </w:tc>
        <w:tc>
          <w:tcPr/>
          <w:p>
            <w:pPr>
              <w:pStyle w:val="Compact"/>
              <w:jc w:val="left"/>
            </w:pPr>
            <w:r>
              <w:t xml:space="preserve">Scope 3 (Downstream)</w:t>
            </w:r>
          </w:p>
        </w:tc>
      </w:tr>
      <w:tr>
        <w:tc>
          <w:tcPr/>
          <w:p>
            <w:pPr>
              <w:pStyle w:val="Compact"/>
              <w:jc w:val="left"/>
            </w:pPr>
            <w:r>
              <w:rPr>
                <w:bCs/>
                <w:b/>
              </w:rPr>
              <w:t xml:space="preserve">End-of-Life (Disposal)</w:t>
            </w:r>
          </w:p>
        </w:tc>
        <w:tc>
          <w:tcPr/>
          <w:p>
            <w:pPr>
              <w:pStyle w:val="Compact"/>
              <w:jc w:val="left"/>
            </w:pPr>
            <w:r>
              <w:t xml:space="preserve">2.71 kg non-recycled waste</w:t>
            </w:r>
          </w:p>
        </w:tc>
        <w:tc>
          <w:tcPr/>
          <w:p>
            <w:pPr>
              <w:pStyle w:val="Compact"/>
              <w:jc w:val="left"/>
            </w:pPr>
            <w:r>
              <w:t xml:space="preserve">0.15 kgCO2e/kg</w:t>
            </w:r>
          </w:p>
        </w:tc>
        <w:tc>
          <w:tcPr/>
          <w:p>
            <w:pPr>
              <w:pStyle w:val="Compact"/>
              <w:jc w:val="left"/>
            </w:pPr>
            <w:r>
              <w:t xml:space="preserve">0.41</w:t>
            </w:r>
          </w:p>
        </w:tc>
        <w:tc>
          <w:tcPr/>
          <w:p>
            <w:pPr>
              <w:pStyle w:val="Compact"/>
              <w:jc w:val="left"/>
            </w:pPr>
            <w:r>
              <w:t xml:space="preserve">Scope 3 (Downstream)</w:t>
            </w:r>
          </w:p>
        </w:tc>
      </w:tr>
      <w:tr>
        <w:tc>
          <w:tcPr>
            <w:gridSpan w:val="3"/>
          </w:tcPr>
          <w:p>
            <w:pPr>
              <w:pStyle w:val="Compact"/>
              <w:jc w:val="right"/>
            </w:pPr>
            <w:r>
              <w:rPr>
                <w:bCs/>
                <w:b/>
              </w:rPr>
              <w:t xml:space="preserve">Total Product Carbon Footprint:</w:t>
            </w:r>
          </w:p>
        </w:tc>
        <w:tc>
          <w:tcPr>
            <w:gridSpan w:val="2"/>
          </w:tcPr>
          <w:p>
            <w:pPr>
              <w:pStyle w:val="Compact"/>
              <w:jc w:val="left"/>
            </w:pPr>
            <w:r>
              <w:rPr>
                <w:bCs/>
                <w:b/>
              </w:rPr>
              <w:t xml:space="preserve">46.29 kgCO2e / functional unit</w:t>
            </w:r>
          </w:p>
        </w:tc>
      </w:tr>
    </w:tbl>
    <w:bookmarkEnd w:id="35"/>
    <w:bookmarkStart w:id="36" w:name="ghg-protocol-scopes-summary"/>
    <w:p>
      <w:pPr>
        <w:pStyle w:val="Heading3"/>
      </w:pPr>
      <w:r>
        <w:t xml:space="preserve">4.2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(assumed negligible/integrated for this product-level PCF)</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(Manufacturing)</w:t>
            </w:r>
          </w:p>
        </w:tc>
        <w:tc>
          <w:tcPr/>
          <w:p>
            <w:pPr>
              <w:pStyle w:val="Compact"/>
              <w:jc w:val="left"/>
            </w:pPr>
            <w:r>
              <w:t xml:space="preserve">4.29</w:t>
            </w:r>
          </w:p>
        </w:tc>
        <w:tc>
          <w:tcPr/>
          <w:p>
            <w:pPr>
              <w:pStyle w:val="Compact"/>
              <w:jc w:val="left"/>
            </w:pPr>
            <w:r>
              <w:t xml:space="preserve">9.3%</w:t>
            </w:r>
          </w:p>
        </w:tc>
      </w:tr>
      <w:tr>
        <w:tc>
          <w:tcPr/>
          <w:p>
            <w:pPr>
              <w:pStyle w:val="Compact"/>
              <w:jc w:val="left"/>
            </w:pPr>
            <w:r>
              <w:rPr>
                <w:bCs/>
                <w:b/>
              </w:rPr>
              <w:t xml:space="preserve">Scope 3 (Upstream)</w:t>
            </w:r>
          </w:p>
        </w:tc>
        <w:tc>
          <w:tcPr/>
          <w:p>
            <w:pPr>
              <w:pStyle w:val="Compact"/>
              <w:jc w:val="left"/>
            </w:pPr>
            <w:r>
              <w:t xml:space="preserve">Emissions from material production, inbound transport</w:t>
            </w:r>
          </w:p>
        </w:tc>
        <w:tc>
          <w:tcPr/>
          <w:p>
            <w:pPr>
              <w:pStyle w:val="Compact"/>
              <w:jc w:val="left"/>
            </w:pPr>
            <w:r>
              <w:t xml:space="preserve">28.05 + 0.54 = 28.59</w:t>
            </w:r>
          </w:p>
        </w:tc>
        <w:tc>
          <w:tcPr/>
          <w:p>
            <w:pPr>
              <w:pStyle w:val="Compact"/>
              <w:jc w:val="left"/>
            </w:pPr>
            <w:r>
              <w:t xml:space="preserve">61.8%</w:t>
            </w:r>
          </w:p>
        </w:tc>
      </w:tr>
      <w:tr>
        <w:tc>
          <w:tcPr/>
          <w:p>
            <w:pPr>
              <w:pStyle w:val="Compact"/>
              <w:jc w:val="left"/>
            </w:pPr>
            <w:r>
              <w:rPr>
                <w:bCs/>
                <w:b/>
              </w:rPr>
              <w:t xml:space="preserve">Scope 3 (Downstream)</w:t>
            </w:r>
          </w:p>
        </w:tc>
        <w:tc>
          <w:tcPr/>
          <w:p>
            <w:pPr>
              <w:pStyle w:val="Compact"/>
              <w:jc w:val="left"/>
            </w:pPr>
            <w:r>
              <w:t xml:space="preserve">Emissions from last-mile transport, use of product, end-of-life disposal</w:t>
            </w:r>
          </w:p>
        </w:tc>
        <w:tc>
          <w:tcPr/>
          <w:p>
            <w:pPr>
              <w:pStyle w:val="Compact"/>
              <w:jc w:val="left"/>
            </w:pPr>
            <w:r>
              <w:t xml:space="preserve">0.22 + 12.78 + 0.41 = 13.41</w:t>
            </w:r>
          </w:p>
        </w:tc>
        <w:tc>
          <w:tcPr/>
          <w:p>
            <w:pPr>
              <w:pStyle w:val="Compact"/>
              <w:jc w:val="left"/>
            </w:pPr>
            <w:r>
              <w:t xml:space="preserve">28.9%</w:t>
            </w:r>
          </w:p>
        </w:tc>
      </w:tr>
      <w:tr>
        <w:tc>
          <w:tcPr>
            <w:gridSpan w:val="2"/>
          </w:tcPr>
          <w:p>
            <w:pPr>
              <w:pStyle w:val="Compact"/>
              <w:jc w:val="right"/>
            </w:pPr>
            <w:r>
              <w:rPr>
                <w:bCs/>
                <w:b/>
              </w:rPr>
              <w:t xml:space="preserve">Total PCF:</w:t>
            </w:r>
          </w:p>
        </w:tc>
        <w:tc>
          <w:tcPr/>
          <w:p>
            <w:pPr>
              <w:pStyle w:val="Compact"/>
              <w:jc w:val="left"/>
            </w:pPr>
            <w:r>
              <w:rPr>
                <w:bCs/>
                <w:b/>
              </w:rPr>
              <w:t xml:space="preserve">46.29</w:t>
            </w:r>
          </w:p>
        </w:tc>
        <w:tc>
          <w:tcPr/>
          <w:p>
            <w:pPr>
              <w:pStyle w:val="Compact"/>
              <w:jc w:val="left"/>
            </w:pPr>
            <w:r>
              <w:rPr>
                <w:bCs/>
                <w:b/>
              </w:rPr>
              <w:t xml:space="preserve">100.0%</w:t>
            </w:r>
          </w:p>
        </w:tc>
      </w:tr>
    </w:tbl>
    <w:p>
      <w:pPr>
        <w:pStyle w:val="BodyText"/>
      </w:pPr>
      <w:r>
        <w:t xml:space="preserve">This breakdown clearly shows that Scope 3 emissions, particularly from material acquisition and the use phase, constitute the vast majority of the product\'s carbon footprint, achieving the 95% coverage target for Scope 3 reporting.</w:t>
      </w:r>
    </w:p>
    <w:bookmarkEnd w:id="36"/>
    <w:bookmarkEnd w:id="37"/>
    <w:p>
      <w:r>
        <w:pict>
          <v:rect style="width:0;height:1.5pt" o:hralign="center" o:hrstd="t" o:hr="t"/>
        </w:pict>
      </w:r>
    </w:p>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key emission hotspots for vqngysnhkx:</w:t>
      </w:r>
    </w:p>
    <w:p>
      <w:pPr>
        <w:numPr>
          <w:ilvl w:val="0"/>
          <w:numId w:val="1010"/>
        </w:numPr>
        <w:pStyle w:val="Compact"/>
      </w:pPr>
      <w:r>
        <w:rPr>
          <w:bCs/>
          <w:b/>
        </w:rPr>
        <w:t xml:space="preserve">Material Acquisition &amp; Pre-processing (60.6%):</w:t>
      </w:r>
      <w:r>
        <w:t xml:space="preserve"> </w:t>
      </w:r>
      <w:r>
        <w:t xml:space="preserve">The production of raw materials, particularly steel and electronics, is the single largest contributor to the product\'s carbon footprint. This highlights the importance of sustainable sourcing and material efficiency.</w:t>
      </w:r>
    </w:p>
    <w:p>
      <w:pPr>
        <w:numPr>
          <w:ilvl w:val="0"/>
          <w:numId w:val="1010"/>
        </w:numPr>
        <w:pStyle w:val="Compact"/>
      </w:pPr>
      <w:r>
        <w:rPr>
          <w:bCs/>
          <w:b/>
        </w:rPr>
        <w:t xml:space="preserve">Use Phase (27.6%):</w:t>
      </w:r>
      <w:r>
        <w:t xml:space="preserve"> </w:t>
      </w:r>
      <w:r>
        <w:t xml:space="preserve">Energy consumption during the 7-year lifespan of the product, primarily from electricity, represents a significant portion of emissions, largely due to the assumed European grid mix.</w:t>
      </w:r>
    </w:p>
    <w:p>
      <w:pPr>
        <w:numPr>
          <w:ilvl w:val="0"/>
          <w:numId w:val="1010"/>
        </w:numPr>
        <w:pStyle w:val="Compact"/>
      </w:pPr>
      <w:r>
        <w:rPr>
          <w:bCs/>
          <w:b/>
        </w:rPr>
        <w:t xml:space="preserve">Manufacturing Energy (9.3%):</w:t>
      </w:r>
      <w:r>
        <w:t xml:space="preserve"> </w:t>
      </w:r>
      <w:r>
        <w:t xml:space="preserve">While a good portion of renewable energy is used (60%), the remaining reliance on the Chinese grid mix still contributes notably.</w:t>
      </w:r>
    </w:p>
    <w:bookmarkEnd w:id="38"/>
    <w:bookmarkStart w:id="39" w:name="data-reliability-and-limitations"/>
    <w:p>
      <w:pPr>
        <w:pStyle w:val="Heading3"/>
      </w:pPr>
      <w:r>
        <w:t xml:space="preserve">5.2 Data Reliability and Limitations</w:t>
      </w:r>
    </w:p>
    <w:p>
      <w:pPr>
        <w:pStyle w:val="FirstParagraph"/>
      </w:pPr>
      <w:r>
        <w:t xml:space="preserve">The calculations in this report are based on a combination of specific primary data (BOM, energy intensity, renewable energy usage, lifespan, use-phase consumption, recyclability) and secondary, industry-average emission factors (transport, grid electricity, waste treatment). While the detailed BOM significantly enhances accuracy for material impacts, the reliance on generic emission factors for certain processes and transport modes introduces some level of uncertainty. More precise, supplier-specific data for all upstream processes and real-world grid mixes would further enhance the accuracy of the PCF. Assumptions for transport distances (inbound and last-mile) are also based on typical scenarios.</w:t>
      </w:r>
    </w:p>
    <w:bookmarkEnd w:id="39"/>
    <w:bookmarkStart w:id="40" w:name="Xf1f5697b8f6c71697eb10044e2bd655b2ff7d2b"/>
    <w:p>
      <w:pPr>
        <w:pStyle w:val="Heading3"/>
      </w:pPr>
      <w:r>
        <w:t xml:space="preserve">5.3 Circular Economy Impacts and Recommendations</w:t>
      </w:r>
    </w:p>
    <w:p>
      <w:pPr>
        <w:pStyle w:val="FirstParagraph"/>
      </w:pPr>
      <w:r>
        <w:t xml:space="preserve">The high</w:t>
      </w:r>
      <w:r>
        <w:t xml:space="preserve"> </w:t>
      </w:r>
      <w:r>
        <w:rPr>
          <w:bCs/>
          <w:b/>
        </w:rPr>
        <w:t xml:space="preserve">Recyclability Percentage (75%)</w:t>
      </w:r>
      <w:r>
        <w:t xml:space="preserve"> </w:t>
      </w:r>
      <w:r>
        <w:t xml:space="preserve">and the existence of</w:t>
      </w:r>
      <w:r>
        <w:t xml:space="preserve"> </w:t>
      </w:r>
      <w:r>
        <w:rPr>
          <w:bCs/>
          <w:b/>
        </w:rPr>
        <w:t xml:space="preserve">Circular/Take-back Programs</w:t>
      </w:r>
      <w:r>
        <w:t xml:space="preserve"> </w:t>
      </w:r>
      <w:r>
        <w:t xml:space="preserve">(regional collection points available) are positive indicators for mitigating the End-of-Life impacts of vqngysnhkx. While the direct EoL disposal emissions are relatively low, the potential for avoided emissions through recycling and reuse is substantial. Implementing robust take-back schemes and promoting consumer participation can significantly reduce the need for virgin materials, leading to substantial overall lifecycle emission reductions. Further analysis on the actual avoided emissions from specific recycling processes versus virgin material production would provide a more precise credit for circularity.</w:t>
      </w:r>
    </w:p>
    <w:bookmarkEnd w:id="40"/>
    <w:bookmarkStart w:id="41" w:name="recommendations-for-emission-reduction"/>
    <w:p>
      <w:pPr>
        <w:pStyle w:val="Heading3"/>
      </w:pPr>
      <w:r>
        <w:t xml:space="preserve">5.4 Recommendations for Emission Reduction</w:t>
      </w:r>
    </w:p>
    <w:p>
      <w:pPr>
        <w:pStyle w:val="FirstParagraph"/>
      </w:pPr>
      <w:r>
        <w:t xml:space="preserve">Based on the identified hotspots, the following recommendations are made for</w:t>
      </w:r>
      <w:r>
        <w:t xml:space="preserve"> </w:t>
      </w:r>
      <w:r>
        <w:rPr>
          <w:bCs/>
          <w:b/>
        </w:rPr>
        <w:t xml:space="preserve">owvyjuinvh</w:t>
      </w:r>
      <w:r>
        <w:t xml:space="preserve"> </w:t>
      </w:r>
      <w:r>
        <w:t xml:space="preserve">to reduce the carbon footprint of vqngysnhkx:</w:t>
      </w:r>
    </w:p>
    <w:p>
      <w:pPr>
        <w:numPr>
          <w:ilvl w:val="0"/>
          <w:numId w:val="1011"/>
        </w:numPr>
        <w:pStyle w:val="Compact"/>
      </w:pPr>
      <w:r>
        <w:rPr>
          <w:bCs/>
          <w:b/>
        </w:rPr>
        <w:t xml:space="preserve">Material Optimization:</w:t>
      </w:r>
      <w:r>
        <w:t xml:space="preserve"> </w:t>
      </w:r>
      <w:r>
        <w:t xml:space="preserve">Explore options for lighter materials, materials with lower embedded carbon (e.g., recycled content steel, bio-based plastics), or extending product durability to reduce the frequency of replacement. Engage with suppliers to understand and improve their material production processes.</w:t>
      </w:r>
    </w:p>
    <w:p>
      <w:pPr>
        <w:numPr>
          <w:ilvl w:val="0"/>
          <w:numId w:val="1011"/>
        </w:numPr>
        <w:pStyle w:val="Compact"/>
      </w:pPr>
      <w:r>
        <w:rPr>
          <w:bCs/>
          <w:b/>
        </w:rPr>
        <w:t xml:space="preserve">Renewable Energy Sourcing:</w:t>
      </w:r>
      <w:r>
        <w:t xml:space="preserve"> </w:t>
      </w:r>
      <w:r>
        <w:t xml:space="preserve">Increase the percentage of renewable energy used in manufacturing beyond the current 60% or invest in projects that supply renewable energy to the Chinese grid where the manufacturing takes place.</w:t>
      </w:r>
    </w:p>
    <w:p>
      <w:pPr>
        <w:numPr>
          <w:ilvl w:val="0"/>
          <w:numId w:val="1011"/>
        </w:numPr>
        <w:pStyle w:val="Compact"/>
      </w:pPr>
      <w:r>
        <w:rPr>
          <w:bCs/>
          <w:b/>
        </w:rPr>
        <w:t xml:space="preserve">Energy Efficiency in Use:</w:t>
      </w:r>
      <w:r>
        <w:t xml:space="preserve"> </w:t>
      </w:r>
      <w:r>
        <w:t xml:space="preserve">Invest in R&amp;D to reduce the product\'s energy consumption during its use phase. Educate consumers on energy-efficient usage patterns.</w:t>
      </w:r>
    </w:p>
    <w:p>
      <w:pPr>
        <w:numPr>
          <w:ilvl w:val="0"/>
          <w:numId w:val="1011"/>
        </w:numPr>
        <w:pStyle w:val="Compact"/>
      </w:pPr>
      <w:r>
        <w:rPr>
          <w:bCs/>
          <w:b/>
        </w:rPr>
        <w:t xml:space="preserve">Logistics Optimization:</w:t>
      </w:r>
      <w:r>
        <w:t xml:space="preserve"> </w:t>
      </w:r>
      <w:r>
        <w:t xml:space="preserve">Optimize transport routes, explore less carbon-intensive transport modes for long distances (e.g., rail over road where feasible in Europe), and consolidate shipments to improve load factors.</w:t>
      </w:r>
    </w:p>
    <w:p>
      <w:pPr>
        <w:numPr>
          <w:ilvl w:val="0"/>
          <w:numId w:val="1011"/>
        </w:numPr>
        <w:pStyle w:val="Compact"/>
      </w:pPr>
      <w:r>
        <w:rPr>
          <w:bCs/>
          <w:b/>
        </w:rPr>
        <w:t xml:space="preserve">Enhance Circularity:</w:t>
      </w:r>
      <w:r>
        <w:t xml:space="preserve"> </w:t>
      </w:r>
      <w:r>
        <w:t xml:space="preserve">Strengthen existing take-back programs and investigate opportunities for product refurbishment, repair, or component reuse to maximize the lifespan of materials and products.</w:t>
      </w:r>
    </w:p>
    <w:bookmarkEnd w:id="41"/>
    <w:bookmarkEnd w:id="42"/>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vqngysnhkx</dc:title>
  <dc:creator/>
  <dc:description>Detailed Product Carbon Footprint (PCF) analysis report for vqngysnhkx, conducted by Senior Sustainability Consultant ldvexdyyqn for owvyjuinvh, following GHG Protocol standards including 2026 LSR update and Scope 3 compliance.</dc:description>
  <dc:language>en</dc:language>
  <cp:keywords/>
  <dcterms:created xsi:type="dcterms:W3CDTF">2026-07-15T14:25:36Z</dcterms:created>
  <dcterms:modified xsi:type="dcterms:W3CDTF">2026-07-15T14:25:36Z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