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vqeuqyknfu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vqeuqyknfu</w:t>
      </w:r>
    </w:p>
    <w:p>
      <w:pPr>
        <w:pStyle w:val="BodyText"/>
      </w:pPr>
      <w:r>
        <w:rPr>
          <w:bCs/>
          <w:b/>
        </w:rPr>
        <w:t xml:space="preserve">Company Name:</w:t>
      </w:r>
      <w:r>
        <w:t xml:space="preserve"> </w:t>
      </w:r>
      <w:r>
        <w:t xml:space="preserve">kvglznonsh</w:t>
      </w:r>
    </w:p>
    <w:p>
      <w:pPr>
        <w:pStyle w:val="BodyText"/>
      </w:pPr>
      <w:r>
        <w:rPr>
          <w:bCs/>
          <w:b/>
        </w:rPr>
        <w:t xml:space="preserve">Senior Sustainability Consultant:</w:t>
      </w:r>
      <w:r>
        <w:t xml:space="preserve"> </w:t>
      </w:r>
      <w:r>
        <w:t xml:space="preserve">pfpuxggrtw</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It provides an assessment of the product\'s carbon footprint within the defined scope and boundaries.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vqeuqyknfu</w:t>
      </w:r>
    </w:p>
    <w:p>
      <w:pPr>
        <w:pStyle w:val="BodyText"/>
      </w:pPr>
      <w:r>
        <w:rPr>
          <w:bCs/>
          <w:b/>
        </w:rPr>
        <w:t xml:space="preserve">Company:</w:t>
      </w:r>
      <w:r>
        <w:t xml:space="preserve"> </w:t>
      </w:r>
      <w:r>
        <w:t xml:space="preserve">kvglznonsh</w:t>
      </w:r>
    </w:p>
    <w:p>
      <w:pPr>
        <w:pStyle w:val="BodyText"/>
      </w:pPr>
      <w:r>
        <w:rPr>
          <w:bCs/>
          <w:b/>
        </w:rPr>
        <w:t xml:space="preserve">Senior Sustainability Consultant:</w:t>
      </w:r>
      <w:r>
        <w:t xml:space="preserve"> </w:t>
      </w:r>
      <w:r>
        <w:t xml:space="preserve">pfpuxggrtw</w:t>
      </w:r>
    </w:p>
    <w:p>
      <w:pPr>
        <w:pStyle w:val="BodyText"/>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\'vqeuqyknfu\', manufactured by \'kvglznonsh\'. The analysis was conducted by \'pfpuxggrtw\', a Senior Sustainability Consultant, adhering strictly to the Greenhouse Gas (GHG) Protocol standards, including the latest 2026 updates for the Land Sector and Removals (LSR) Standard and Scope 3 reporting requirements. The PCF quantifies the total greenhouse gas emissions, expressed in carbon dioxide equivalents (CO2e), across the product\'s entire lifecycle from raw material acquisition to end-of-life treatment, operating under a \'factory_gate\' system boundary and a supply chain focused on Europe with final production in China. The aim is to identify major emission hotspots and provide actionable insights for sustainability improvements.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vqeuqyknfu</w:t>
      </w:r>
      <w:r>
        <w:t xml:space="preserve">. This unit serves as the reference basis for quantifying all associated greenhouse gas emissions throughout its lifecycle.</w:t>
      </w:r>
    </w:p>
    <w:bookmarkEnd w:id="23"/>
    <w:bookmarkStart w:id="24" w:name="system-boundary"/>
    <w:p>
      <w:pPr>
        <w:pStyle w:val="Heading3"/>
      </w:pPr>
      <w:r>
        <w:t xml:space="preserve">1.2 System Boundary</w:t>
      </w:r>
    </w:p>
    <w:p>
      <w:pPr>
        <w:pStyle w:val="FirstParagraph"/>
      </w:pPr>
      <w:r>
        <w:t xml:space="preserve">The system boundary for this analysis is established as</w:t>
      </w:r>
      <w:r>
        <w:t xml:space="preserve"> </w:t>
      </w:r>
      <w:r>
        <w:rPr>
          <w:bCs/>
          <w:b/>
        </w:rPr>
        <w:t xml:space="preserve">\'factory_gate\'</w:t>
      </w:r>
      <w:r>
        <w:t xml:space="preserve">. This implies that the assessment covers all processes from raw material extraction and pre-processing up to the point where the finished product leaves the manufacturing facility of kvglznonsh. This includes material production, manufacturing processes, and inbound logistics. Emissions beyond the factory gate, such as distribution to the customer, product use phase, and end-of-life treatment, are reported as downstream Scope 3 emissions but outside the strict \'factory_gate\' boundary for the primary PCF calculation.</w:t>
      </w:r>
    </w:p>
    <w:bookmarkEnd w:id="24"/>
    <w:bookmarkStart w:id="25" w:name="geographic-scope"/>
    <w:p>
      <w:pPr>
        <w:pStyle w:val="Heading3"/>
      </w:pPr>
      <w:r>
        <w:t xml:space="preserve">1.3 Geographic Scope</w:t>
      </w:r>
    </w:p>
    <w:p>
      <w:pPr>
        <w:pStyle w:val="FirstParagraph"/>
      </w:pPr>
      <w:r>
        <w:t xml:space="preserve">The geographic scope of this PCF analysis specifies the</w:t>
      </w:r>
      <w:r>
        <w:t xml:space="preserve"> </w:t>
      </w:r>
      <w:r>
        <w:rPr>
          <w:bCs/>
          <w:b/>
        </w:rPr>
        <w:t xml:space="preserve">Final Production Country as China</w:t>
      </w:r>
      <w:r>
        <w:t xml:space="preserve">, with a</w:t>
      </w:r>
      <w:r>
        <w:t xml:space="preserve"> </w:t>
      </w:r>
      <w:r>
        <w:rPr>
          <w:bCs/>
          <w:b/>
        </w:rPr>
        <w:t xml:space="preserve">Supply Chain Focus on Europe</w:t>
      </w:r>
      <w:r>
        <w:t xml:space="preserve">. This dictates the selection of region-specific emission factors for energy grids (China for production, European averages for upstream/downstream where applicable) and transportation routes.</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This approach ensures comprehensive and internationally recognized reporting of greenhouse gas emissions.</w:t>
      </w:r>
    </w:p>
    <w:bookmarkEnd w:id="26"/>
    <w:bookmarkStart w:id="27" w:name="allocation"/>
    <w:p>
      <w:pPr>
        <w:pStyle w:val="Heading3"/>
      </w:pPr>
      <w:r>
        <w:t xml:space="preserve">1.5 Allocation</w:t>
      </w:r>
    </w:p>
    <w:p>
      <w:pPr>
        <w:pStyle w:val="FirstParagraph"/>
      </w:pPr>
      <w:r>
        <w:t xml:space="preserve">Emissions are allocated to the functional unit based on mass and economic allocation principles where co-products or by-products exist. For shared processes (e.g., transport vehicles carrying multiple products), emissions are allocated proportionally based on the mass of \'vqeuqyknfu\' relative to the total load.</w:t>
      </w:r>
    </w:p>
    <w:p>
      <w:r>
        <w:pict>
          <v:rect style="width:0;height:1.5pt" o:hralign="center" o:hrstd="t" o:hr="t"/>
        </w:pict>
      </w:r>
    </w:p>
    <w:bookmarkEnd w:id="27"/>
    <w:bookmarkEnd w:id="28"/>
    <w:bookmarkStart w:id="32" w:name="map-lifecycle-lci-inventory-stages"/>
    <w:p>
      <w:pPr>
        <w:pStyle w:val="Heading2"/>
      </w:pPr>
      <w:r>
        <w:t xml:space="preserve">2. Map Lifecycle (LCI Inventory Stages)</w:t>
      </w:r>
    </w:p>
    <w:p>
      <w:pPr>
        <w:pStyle w:val="FirstParagraph"/>
      </w:pPr>
      <w:r>
        <w:t xml:space="preserve">The lifecycle of vqeuqyknfu is mapped across several key stages to identify all relevant emission sources. These stages are aligned with the GHG Protocol Product Standard and ISO 14040/14067, covering a cradle-to-grave perspective for comprehensive Scope 3 reporting, even with a \'factory_gate\' system boundary for the primary PCF.</w:t>
      </w:r>
    </w:p>
    <w:bookmarkStart w:id="29" w:name="upstream-stages-scope-3"/>
    <w:p>
      <w:pPr>
        <w:pStyle w:val="Heading3"/>
      </w:pPr>
      <w:r>
        <w:t xml:space="preserve">2.1 Upstream Stages (Scope 3)</w:t>
      </w:r>
    </w:p>
    <w:p>
      <w:pPr>
        <w:numPr>
          <w:ilvl w:val="0"/>
          <w:numId w:val="1001"/>
        </w:numPr>
        <w:pStyle w:val="Compact"/>
      </w:pPr>
      <w:r>
        <w:rPr>
          <w:bCs/>
          <w:b/>
        </w:rPr>
        <w:t xml:space="preserve">Material Acquisition &amp; Pre-processing:</w:t>
      </w:r>
      <w:r>
        <w:t xml:space="preserve"> </w:t>
      </w:r>
      <w:r>
        <w:t xml:space="preserve">This stage includes the extraction of raw materials, initial processing, and manufacturing of components as detailed in the Bill of Materials (BOM).</w:t>
      </w:r>
    </w:p>
    <w:p>
      <w:pPr>
        <w:numPr>
          <w:ilvl w:val="0"/>
          <w:numId w:val="1001"/>
        </w:numPr>
        <w:pStyle w:val="Compact"/>
      </w:pPr>
      <w:r>
        <w:rPr>
          <w:bCs/>
          <w:b/>
        </w:rPr>
        <w:t xml:space="preserve">Upstream Transportation:</w:t>
      </w:r>
      <w:r>
        <w:t xml:space="preserve"> </w:t>
      </w:r>
      <w:r>
        <w:t xml:space="preserve">Emissions from transporting raw materials and components from suppliers to the kvglznonsh manufacturing facility in China.</w:t>
      </w:r>
    </w:p>
    <w:bookmarkEnd w:id="29"/>
    <w:bookmarkStart w:id="30" w:name="core-operations-scope-1-2"/>
    <w:p>
      <w:pPr>
        <w:pStyle w:val="Heading3"/>
      </w:pPr>
      <w:r>
        <w:t xml:space="preserve">2.2 Core Operations (Scope 1 &amp; 2)</w:t>
      </w:r>
    </w:p>
    <w:p>
      <w:pPr>
        <w:numPr>
          <w:ilvl w:val="0"/>
          <w:numId w:val="1002"/>
        </w:numPr>
        <w:pStyle w:val="Compact"/>
      </w:pPr>
      <w:r>
        <w:rPr>
          <w:bCs/>
          <w:b/>
        </w:rPr>
        <w:t xml:space="preserve">Production/Manufacturing:</w:t>
      </w:r>
      <w:r>
        <w:t xml:space="preserve"> </w:t>
      </w:r>
      <w:r>
        <w:t xml:space="preserve">Emissions from energy consumption (electricity, direct fuel combustion) and any process-related emissions within kvglznonsh\'s factory in China.</w:t>
      </w:r>
    </w:p>
    <w:bookmarkEnd w:id="30"/>
    <w:bookmarkStart w:id="31" w:name="downstream-stages-scope-3"/>
    <w:p>
      <w:pPr>
        <w:pStyle w:val="Heading3"/>
      </w:pPr>
      <w:r>
        <w:t xml:space="preserve">2.3 Downstream Stages (Scope 3)</w:t>
      </w:r>
    </w:p>
    <w:p>
      <w:pPr>
        <w:numPr>
          <w:ilvl w:val="0"/>
          <w:numId w:val="1003"/>
        </w:numPr>
        <w:pStyle w:val="Compact"/>
      </w:pPr>
      <w:r>
        <w:rPr>
          <w:bCs/>
          <w:b/>
        </w:rPr>
        <w:t xml:space="preserve">Distribution &amp; Last-Mile Delivery:</w:t>
      </w:r>
      <w:r>
        <w:t xml:space="preserve"> </w:t>
      </w:r>
      <w:r>
        <w:t xml:space="preserve">Emissions from transporting the finished product from the factory gate to the end-customer.</w:t>
      </w:r>
    </w:p>
    <w:p>
      <w:pPr>
        <w:numPr>
          <w:ilvl w:val="0"/>
          <w:numId w:val="1003"/>
        </w:numPr>
        <w:pStyle w:val="Compact"/>
      </w:pPr>
      <w:r>
        <w:rPr>
          <w:bCs/>
          <w:b/>
        </w:rPr>
        <w:t xml:space="preserve">Use Phase:</w:t>
      </w:r>
      <w:r>
        <w:t xml:space="preserve"> </w:t>
      </w:r>
      <w:r>
        <w:t xml:space="preserve">Emissions generated during the intended use of \'vqeuqyknfu\' by the consumer over its lifespan.</w:t>
      </w:r>
    </w:p>
    <w:p>
      <w:pPr>
        <w:numPr>
          <w:ilvl w:val="0"/>
          <w:numId w:val="1003"/>
        </w:numPr>
        <w:pStyle w:val="Compact"/>
      </w:pPr>
      <w:r>
        <w:rPr>
          <w:bCs/>
          <w:b/>
        </w:rPr>
        <w:t xml:space="preserve">End-of-Life (EoL) Treatment:</w:t>
      </w:r>
      <w:r>
        <w:t xml:space="preserve"> </w:t>
      </w:r>
      <w:r>
        <w:t xml:space="preserve">Emissions associated with the disposal, recycling, or recovery of the product at the end of its useful life.</w:t>
      </w:r>
    </w:p>
    <w:p>
      <w:r>
        <w:pict>
          <v:rect style="width:0;height:1.5pt" o:hralign="center" o:hrstd="t" o:hr="t"/>
        </w:pict>
      </w:r>
    </w:p>
    <w:bookmarkEnd w:id="31"/>
    <w:bookmarkEnd w:id="32"/>
    <w:bookmarkStart w:id="38" w:name="Xb57f50a89bf1f3f1837369be949d9d60d6c1272"/>
    <w:p>
      <w:pPr>
        <w:pStyle w:val="Heading2"/>
      </w:pPr>
      <w:r>
        <w:t xml:space="preserve">3. Collect Data (Primary/Secondary Data Points)</w:t>
      </w:r>
    </w:p>
    <w:p>
      <w:pPr>
        <w:pStyle w:val="FirstParagraph"/>
      </w:pPr>
      <w:r>
        <w:t xml:space="preserve">Data collection involved a combination of primary data provided by kvglznonsh and secondary data from reputable databases for industry-average emission factors. The report aims for at least 95% coverage for Scope 3 emissions as per 2026 GHG Protocol requirements, disaggregating data by source type where possible.</w:t>
      </w:r>
    </w:p>
    <w:bookmarkStart w:id="33" w:name="Xc36fd3932d6b8ff16cb5b562d384474c066b4f1"/>
    <w:p>
      <w:pPr>
        <w:pStyle w:val="Heading3"/>
      </w:pPr>
      <w:r>
        <w:t xml:space="preserve">3.1 Detailed Bill of Materials (BOM) - hpormvpe (Primary Data)</w:t>
      </w:r>
    </w:p>
    <w:p>
      <w:pPr>
        <w:pStyle w:val="FirstParagraph"/>
      </w:pPr>
      <w:r>
        <w:t xml:space="preserve">The following Bill of Materials (BOM) data, designated as `hpormvpe`, was used for high-accuracy material impact calculation. These values are considered primary data for purchased goods and services (GHG Protocol Scope 3, Category 1).</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Custom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0.80</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Wiring &amp; Connectors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3.00</w:t>
            </w:r>
          </w:p>
        </w:tc>
        <w:tc>
          <w:tcPr/>
          <w:p>
            <w:pPr>
              <w:pStyle w:val="Compact"/>
              <w:jc w:val="left"/>
            </w:pPr>
            <w:r>
              <w:t xml:space="preserve">0.30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0.08</w:t>
            </w:r>
          </w:p>
        </w:tc>
      </w:tr>
    </w:tbl>
    <w:p>
      <w:pPr>
        <w:pStyle w:val="BodyText"/>
      </w:pPr>
      <w:r>
        <w:rPr>
          <w:iCs/>
          <w:i/>
        </w:rPr>
        <w:t xml:space="preserve">Note: The "Total Carbon" values are derived from "Qty * Emission Factor". Emission factors for materials are illustrative and based on industry averages (e.g., Ecoinvent/DEFRA equivalents).</w:t>
      </w:r>
    </w:p>
    <w:bookmarkEnd w:id="33"/>
    <w:bookmarkStart w:id="34" w:name="energy-inputs-primary-secondary-data"/>
    <w:p>
      <w:pPr>
        <w:pStyle w:val="Heading3"/>
      </w:pPr>
      <w:r>
        <w:t xml:space="preserve">3.2 Energy Inputs (Primary &amp; Secondary Data)</w:t>
      </w:r>
    </w:p>
    <w:p>
      <w:pPr>
        <w:numPr>
          <w:ilvl w:val="0"/>
          <w:numId w:val="1004"/>
        </w:numPr>
        <w:pStyle w:val="Compact"/>
      </w:pPr>
      <w:r>
        <w:rPr>
          <w:bCs/>
          <w:b/>
        </w:rPr>
        <w:t xml:space="preserve">Renewable Energy Usage (Production):</w:t>
      </w:r>
      <w:r>
        <w:t xml:space="preserve"> </w:t>
      </w:r>
      <w:r>
        <w:t xml:space="preserve">`zyxfhkfluo`% (Primary Data)</w:t>
      </w:r>
    </w:p>
    <w:p>
      <w:pPr>
        <w:numPr>
          <w:ilvl w:val="0"/>
          <w:numId w:val="1004"/>
        </w:numPr>
        <w:pStyle w:val="Compact"/>
      </w:pPr>
      <w:r>
        <w:rPr>
          <w:bCs/>
          <w:b/>
        </w:rPr>
        <w:t xml:space="preserve">Energy Intensity (Production, kWh/unit):</w:t>
      </w:r>
      <w:r>
        <w:t xml:space="preserve"> </w:t>
      </w:r>
      <w:r>
        <w:t xml:space="preserve">`ilgwowskzo` (Primary Data)</w:t>
      </w:r>
    </w:p>
    <w:p>
      <w:pPr>
        <w:numPr>
          <w:ilvl w:val="0"/>
          <w:numId w:val="1004"/>
        </w:numPr>
        <w:pStyle w:val="Compact"/>
      </w:pPr>
      <w:r>
        <w:rPr>
          <w:bCs/>
          <w:b/>
        </w:rPr>
        <w:t xml:space="preserve">Electricity Emission Factor (China, secondary data):</w:t>
      </w:r>
      <w:r>
        <w:t xml:space="preserve"> </w:t>
      </w:r>
      <w:r>
        <w:t xml:space="preserve">0.6205 kgCO2e/kWh (2023 national average for China).</w:t>
      </w:r>
    </w:p>
    <w:p>
      <w:pPr>
        <w:numPr>
          <w:ilvl w:val="0"/>
          <w:numId w:val="1004"/>
        </w:numPr>
        <w:pStyle w:val="Compact"/>
      </w:pPr>
      <w:r>
        <w:rPr>
          <w:bCs/>
          <w:b/>
        </w:rPr>
        <w:t xml:space="preserve">Generic Scope 1 Emissions:</w:t>
      </w:r>
      <w:r>
        <w:t xml:space="preserve"> </w:t>
      </w:r>
      <w:r>
        <w:t xml:space="preserve">Assumed minimal at 0.01 kgCO2e/unit for minor on-site fuel use/processes.</w:t>
      </w:r>
    </w:p>
    <w:bookmarkEnd w:id="34"/>
    <w:bookmarkStart w:id="35" w:name="logistics-data-primary-secondary-data"/>
    <w:p>
      <w:pPr>
        <w:pStyle w:val="Heading3"/>
      </w:pPr>
      <w:r>
        <w:t xml:space="preserve">3.3 Logistics Data (Primary &amp; Secondary Data)</w:t>
      </w:r>
    </w:p>
    <w:p>
      <w:pPr>
        <w:pStyle w:val="FirstParagraph"/>
      </w:pPr>
      <w:r>
        <w:t xml:space="preserve">Specific logistics data was incorporated into the supply chain analysis (GHG Protocol Scope 3, Categories 4 &amp; 9).</w:t>
      </w:r>
    </w:p>
    <w:p>
      <w:pPr>
        <w:numPr>
          <w:ilvl w:val="0"/>
          <w:numId w:val="1005"/>
        </w:numPr>
        <w:pStyle w:val="Compact"/>
      </w:pPr>
      <w:r>
        <w:rPr>
          <w:bCs/>
          <w:b/>
        </w:rPr>
        <w:t xml:space="preserve">Transport Mode:</w:t>
      </w:r>
      <w:r>
        <w:t xml:space="preserve"> </w:t>
      </w:r>
      <w:r>
        <w:t xml:space="preserve">`Select Mode` (Assumed Road Freight: Heavy Goods Vehicle for main transport, Light Commercial Vehicle for last-mile).</w:t>
      </w:r>
    </w:p>
    <w:p>
      <w:pPr>
        <w:numPr>
          <w:ilvl w:val="0"/>
          <w:numId w:val="1005"/>
        </w:numPr>
        <w:pStyle w:val="Compact"/>
      </w:pPr>
      <w:r>
        <w:rPr>
          <w:bCs/>
          <w:b/>
        </w:rPr>
        <w:t xml:space="preserve">Transport Distance:</w:t>
      </w:r>
      <w:r>
        <w:t xml:space="preserve"> </w:t>
      </w:r>
      <w:r>
        <w:t xml:space="preserve">`wnndjruswh` km (Assumed 2000 km for primary European transport, 100 km for last-mile delivery).</w:t>
      </w:r>
    </w:p>
    <w:p>
      <w:pPr>
        <w:numPr>
          <w:ilvl w:val="0"/>
          <w:numId w:val="1005"/>
        </w:numPr>
        <w:pStyle w:val="Compact"/>
      </w:pPr>
      <w:r>
        <w:rPr>
          <w:bCs/>
          <w:b/>
        </w:rPr>
        <w:t xml:space="preserve">Last-Mile Delivery Channel:</w:t>
      </w:r>
      <w:r>
        <w:t xml:space="preserve"> </w:t>
      </w:r>
      <w:r>
        <w:t xml:space="preserve">`Delivery Type` (Assumed Parcel Delivery Van).</w:t>
      </w:r>
    </w:p>
    <w:p>
      <w:pPr>
        <w:numPr>
          <w:ilvl w:val="0"/>
          <w:numId w:val="1005"/>
        </w:numPr>
        <w:pStyle w:val="Compact"/>
      </w:pPr>
      <w:r>
        <w:rPr>
          <w:bCs/>
          <w:b/>
        </w:rPr>
        <w:t xml:space="preserve">Road Freight Emission Factor (secondary data):</w:t>
      </w:r>
    </w:p>
    <w:p>
      <w:pPr>
        <w:numPr>
          <w:ilvl w:val="1"/>
          <w:numId w:val="1006"/>
        </w:numPr>
        <w:pStyle w:val="Compact"/>
      </w:pPr>
      <w:r>
        <w:t xml:space="preserve">Heavy Goods Vehicle (HGV) long haul: 0.08 kgCO2e/tonne-km (illustrative, based on EU averages).</w:t>
      </w:r>
    </w:p>
    <w:p>
      <w:pPr>
        <w:numPr>
          <w:ilvl w:val="1"/>
          <w:numId w:val="1006"/>
        </w:numPr>
        <w:pStyle w:val="Compact"/>
      </w:pPr>
      <w:r>
        <w:t xml:space="preserve">Light Commercial Vehicle (LCV) last-mile: 0.20 kgCO2e/tonne-km (illustrative, for smaller, less efficient last-mile).</w:t>
      </w:r>
    </w:p>
    <w:bookmarkEnd w:id="35"/>
    <w:bookmarkStart w:id="36" w:name="use-phase-data-primary-secondary-data"/>
    <w:p>
      <w:pPr>
        <w:pStyle w:val="Heading3"/>
      </w:pPr>
      <w:r>
        <w:t xml:space="preserve">3.4 Use Phase Data (Primary &amp; Secondary Data)</w:t>
      </w:r>
    </w:p>
    <w:p>
      <w:pPr>
        <w:pStyle w:val="FirstParagraph"/>
      </w:pPr>
      <w:r>
        <w:t xml:space="preserve">The \'Use Phase\' calculation utilizes the following specific durability and consumption data (GHG Protocol Scope 3, Category 11).</w:t>
      </w:r>
    </w:p>
    <w:p>
      <w:pPr>
        <w:numPr>
          <w:ilvl w:val="0"/>
          <w:numId w:val="1007"/>
        </w:numPr>
        <w:pStyle w:val="Compact"/>
      </w:pPr>
      <w:r>
        <w:rPr>
          <w:bCs/>
          <w:b/>
        </w:rPr>
        <w:t xml:space="preserve">Product Lifespan:</w:t>
      </w:r>
      <w:r>
        <w:t xml:space="preserve"> </w:t>
      </w:r>
      <w:r>
        <w:t xml:space="preserve">`gymnftwixg` years (Primary Data)</w:t>
      </w:r>
    </w:p>
    <w:p>
      <w:pPr>
        <w:numPr>
          <w:ilvl w:val="0"/>
          <w:numId w:val="1007"/>
        </w:numPr>
        <w:pStyle w:val="Compact"/>
      </w:pPr>
      <w:r>
        <w:rPr>
          <w:bCs/>
          <w:b/>
        </w:rPr>
        <w:t xml:space="preserve">Energy Consumption in Use:</w:t>
      </w:r>
      <w:r>
        <w:t xml:space="preserve"> </w:t>
      </w:r>
      <w:r>
        <w:t xml:space="preserve">`ongwpqmjmm` kWh/year (Primary Data)</w:t>
      </w:r>
    </w:p>
    <w:p>
      <w:pPr>
        <w:numPr>
          <w:ilvl w:val="0"/>
          <w:numId w:val="1007"/>
        </w:numPr>
        <w:pStyle w:val="Compact"/>
      </w:pPr>
      <w:r>
        <w:rPr>
          <w:bCs/>
          <w:b/>
        </w:rPr>
        <w:t xml:space="preserve">Electricity Emission Factor (Use Phase, secondary data):</w:t>
      </w:r>
      <w:r>
        <w:t xml:space="preserve"> </w:t>
      </w:r>
      <w:r>
        <w:t xml:space="preserve">0.25 kgCO2e/kWh (illustrative EU grid mix average, assuming product use in Europe).</w:t>
      </w:r>
    </w:p>
    <w:bookmarkEnd w:id="36"/>
    <w:bookmarkStart w:id="37" w:name="Xed3c1ffae7a7900870b9306827aba733df6e257"/>
    <w:p>
      <w:pPr>
        <w:pStyle w:val="Heading3"/>
      </w:pPr>
      <w:r>
        <w:t xml:space="preserve">3.5 End-of-Life (EoL) Scenarios (Primary &amp; Secondary Data)</w:t>
      </w:r>
    </w:p>
    <w:p>
      <w:pPr>
        <w:pStyle w:val="FirstParagraph"/>
      </w:pPr>
      <w:r>
        <w:t xml:space="preserve">End-of-Life (EoL) scenarios reflect circular economy impacts (GHG Protocol Scope 3, Category 12).</w:t>
      </w:r>
    </w:p>
    <w:p>
      <w:pPr>
        <w:numPr>
          <w:ilvl w:val="0"/>
          <w:numId w:val="1008"/>
        </w:numPr>
        <w:pStyle w:val="Compact"/>
      </w:pPr>
      <w:r>
        <w:rPr>
          <w:bCs/>
          <w:b/>
        </w:rPr>
        <w:t xml:space="preserve">Recyclability Percentage:</w:t>
      </w:r>
      <w:r>
        <w:t xml:space="preserve"> </w:t>
      </w:r>
      <w:r>
        <w:t xml:space="preserve">`lunpprlqms`% (Primary Data)</w:t>
      </w:r>
    </w:p>
    <w:p>
      <w:pPr>
        <w:numPr>
          <w:ilvl w:val="0"/>
          <w:numId w:val="1008"/>
        </w:numPr>
        <w:pStyle w:val="Compact"/>
      </w:pPr>
      <w:r>
        <w:rPr>
          <w:bCs/>
          <w:b/>
        </w:rPr>
        <w:t xml:space="preserve">Circular/Take-back Programs:</w:t>
      </w:r>
      <w:r>
        <w:t xml:space="preserve"> </w:t>
      </w:r>
      <w:r>
        <w:t xml:space="preserve">`rvdqmoumvh` (Primary Data)</w:t>
      </w:r>
    </w:p>
    <w:p>
      <w:pPr>
        <w:numPr>
          <w:ilvl w:val="0"/>
          <w:numId w:val="1008"/>
        </w:numPr>
        <w:pStyle w:val="Compact"/>
      </w:pPr>
      <w:r>
        <w:rPr>
          <w:bCs/>
          <w:b/>
        </w:rPr>
        <w:t xml:space="preserve">Illustrative EoL Emission Factors (secondary data):</w:t>
      </w:r>
    </w:p>
    <w:p>
      <w:pPr>
        <w:numPr>
          <w:ilvl w:val="1"/>
          <w:numId w:val="1009"/>
        </w:numPr>
        <w:pStyle w:val="Compact"/>
      </w:pPr>
      <w:r>
        <w:t xml:space="preserve">Recycling (avoided emissions): -0.10 kgCO2e/kg (for metals/plastics, net benefit).</w:t>
      </w:r>
    </w:p>
    <w:p>
      <w:pPr>
        <w:numPr>
          <w:ilvl w:val="1"/>
          <w:numId w:val="1009"/>
        </w:numPr>
        <w:pStyle w:val="Compact"/>
      </w:pPr>
      <w:r>
        <w:t xml:space="preserve">Landfill: 1.2 kgCO2e/kg (for mixed waste).</w:t>
      </w:r>
    </w:p>
    <w:p>
      <w:pPr>
        <w:numPr>
          <w:ilvl w:val="1"/>
          <w:numId w:val="1009"/>
        </w:numPr>
        <w:pStyle w:val="Compact"/>
      </w:pPr>
      <w:r>
        <w:t xml:space="preserve">Incineration: 0.7 kgCO2e/kg (for mixed waste).</w:t>
      </w:r>
    </w:p>
    <w:p>
      <w:pPr>
        <w:pStyle w:val="FirstParagraph"/>
      </w:pPr>
      <w:r>
        <w:rPr>
          <w:iCs/>
          <w:i/>
        </w:rPr>
        <w:t xml:space="preserve">Note: Product weight for EoL calculation is assumed to be 1 kg, based on the sum of BOM material quantities.</w:t>
      </w:r>
    </w:p>
    <w:p>
      <w:r>
        <w:pict>
          <v:rect style="width:0;height:1.5pt" o:hralign="center" o:hrstd="t" o:hr="t"/>
        </w:pict>
      </w:r>
    </w:p>
    <w:bookmarkEnd w:id="37"/>
    <w:bookmarkEnd w:id="38"/>
    <w:bookmarkStart w:id="51" w:name="Xb404f6bea4a0013006ec7a9103609d9ea6643c1"/>
    <w:p>
      <w:pPr>
        <w:pStyle w:val="Heading2"/>
      </w:pPr>
      <w:r>
        <w:t xml:space="preserve">4. Calculate Emissions (Activity * Emission Factor = CO2e)</w:t>
      </w:r>
    </w:p>
    <w:p>
      <w:pPr>
        <w:pStyle w:val="FirstParagraph"/>
      </w:pPr>
      <w:r>
        <w:t xml:space="preserve">Emissions are calculated for each lifecycle stage, categorized according to the GHG Protocol. Calculations utilize the provided primary data and industry-standard emission factors from sources such as Ecoinvent and DEFRA equivalents.</w:t>
      </w:r>
    </w:p>
    <w:bookmarkStart w:id="39" w:name="scope-1-emissions-direct-emissions"/>
    <w:p>
      <w:pPr>
        <w:pStyle w:val="Heading3"/>
      </w:pPr>
      <w:r>
        <w:t xml:space="preserve">4.1 Scope 1 Emissions (Direct Emissions)</w:t>
      </w:r>
    </w:p>
    <w:p>
      <w:pPr>
        <w:pStyle w:val="FirstParagraph"/>
      </w:pPr>
      <w:r>
        <w:t xml:space="preserve">These are direct emissions from sources owned or controlled by kvglznonsh.</w:t>
      </w:r>
    </w:p>
    <w:p>
      <w:pPr>
        <w:numPr>
          <w:ilvl w:val="0"/>
          <w:numId w:val="1010"/>
        </w:numPr>
        <w:pStyle w:val="Compact"/>
      </w:pPr>
      <w:r>
        <w:rPr>
          <w:bCs/>
          <w:b/>
        </w:rPr>
        <w:t xml:space="preserve">Assumed direct process emissions for manufacturing:</w:t>
      </w:r>
      <w:r>
        <w:t xml:space="preserve"> </w:t>
      </w:r>
      <w:r>
        <w:t xml:space="preserve">0.01 kgCO2e/unit (illustrative, for minor on-site fuel use/leakage).</w:t>
      </w:r>
    </w:p>
    <w:p>
      <w:pPr>
        <w:numPr>
          <w:ilvl w:val="1"/>
          <w:numId w:val="1011"/>
        </w:numPr>
        <w:pStyle w:val="Compact"/>
      </w:pPr>
      <w:r>
        <w:t xml:space="preserve">Total Scope 1 Emissions = 1.0 unit * 0.01 kgCO2e/unit =</w:t>
      </w:r>
      <w:r>
        <w:t xml:space="preserve"> </w:t>
      </w:r>
      <w:r>
        <w:rPr>
          <w:bCs/>
          <w:b/>
        </w:rPr>
        <w:t xml:space="preserve">0.01 kgCO2e</w:t>
      </w:r>
    </w:p>
    <w:bookmarkEnd w:id="39"/>
    <w:bookmarkStart w:id="40" w:name="Xea3a0be011cd6660e8b4fde47b2db6c687f0551"/>
    <w:p>
      <w:pPr>
        <w:pStyle w:val="Heading3"/>
      </w:pPr>
      <w:r>
        <w:t xml:space="preserve">4.2 Scope 2 Emissions (Purchased Energy Emissions)</w:t>
      </w:r>
    </w:p>
    <w:p>
      <w:pPr>
        <w:pStyle w:val="FirstParagraph"/>
      </w:pPr>
      <w:r>
        <w:t xml:space="preserve">These are indirect emissions from the generation of purchased electricity consumed by kvglznonsh in its manufacturing facility in China.</w:t>
      </w:r>
    </w:p>
    <w:p>
      <w:pPr>
        <w:numPr>
          <w:ilvl w:val="0"/>
          <w:numId w:val="1012"/>
        </w:numPr>
        <w:pStyle w:val="Compact"/>
      </w:pPr>
      <w:r>
        <w:rPr>
          <w:bCs/>
          <w:b/>
        </w:rPr>
        <w:t xml:space="preserve">Energy Intensity:</w:t>
      </w:r>
      <w:r>
        <w:t xml:space="preserve"> </w:t>
      </w:r>
      <w:r>
        <w:t xml:space="preserve">`ilgwowskzo` kWh/unit</w:t>
      </w:r>
    </w:p>
    <w:p>
      <w:pPr>
        <w:numPr>
          <w:ilvl w:val="0"/>
          <w:numId w:val="1012"/>
        </w:numPr>
        <w:pStyle w:val="Compact"/>
      </w:pPr>
      <w:r>
        <w:rPr>
          <w:bCs/>
          <w:b/>
        </w:rPr>
        <w:t xml:space="preserve">Renewable Energy Usage:</w:t>
      </w:r>
      <w:r>
        <w:t xml:space="preserve"> </w:t>
      </w:r>
      <w:r>
        <w:t xml:space="preserve">`zyxfhkfluo`%</w:t>
      </w:r>
    </w:p>
    <w:p>
      <w:pPr>
        <w:numPr>
          <w:ilvl w:val="0"/>
          <w:numId w:val="1012"/>
        </w:numPr>
        <w:pStyle w:val="Compact"/>
      </w:pPr>
      <w:r>
        <w:rPr>
          <w:bCs/>
          <w:b/>
        </w:rPr>
        <w:t xml:space="preserve">Non-renewable Electricity Share:</w:t>
      </w:r>
      <w:r>
        <w:t xml:space="preserve"> </w:t>
      </w:r>
      <w:r>
        <w:t xml:space="preserve">(100 - `zyxfhkfluo`)%</w:t>
      </w:r>
    </w:p>
    <w:p>
      <w:pPr>
        <w:numPr>
          <w:ilvl w:val="0"/>
          <w:numId w:val="1012"/>
        </w:numPr>
        <w:pStyle w:val="Compact"/>
      </w:pPr>
      <w:r>
        <w:rPr>
          <w:bCs/>
          <w:b/>
        </w:rPr>
        <w:t xml:space="preserve">Chinese Grid Emission Factor:</w:t>
      </w:r>
      <w:r>
        <w:t xml:space="preserve"> </w:t>
      </w:r>
      <w:r>
        <w:t xml:space="preserve">0.6205 kgCO2e/kWh</w:t>
      </w:r>
    </w:p>
    <w:p>
      <w:pPr>
        <w:numPr>
          <w:ilvl w:val="0"/>
          <w:numId w:val="1012"/>
        </w:numPr>
        <w:pStyle w:val="Compact"/>
      </w:pPr>
      <w:r>
        <w:rPr>
          <w:bCs/>
          <w:b/>
        </w:rPr>
        <w:t xml:space="preserve">Calculation:</w:t>
      </w:r>
    </w:p>
    <w:p>
      <w:pPr>
        <w:numPr>
          <w:ilvl w:val="1"/>
          <w:numId w:val="1013"/>
        </w:numPr>
        <w:pStyle w:val="Compact"/>
      </w:pPr>
      <w:r>
        <w:t xml:space="preserve">Non-renewable energy consumed = `ilgwowskzo` kWh/unit * (100 - `zyxfhkfluo`)/100</w:t>
      </w:r>
    </w:p>
    <w:p>
      <w:pPr>
        <w:numPr>
          <w:ilvl w:val="1"/>
          <w:numId w:val="1013"/>
        </w:numPr>
        <w:pStyle w:val="Compact"/>
      </w:pPr>
      <w:r>
        <w:t xml:space="preserve">Total Scope 2 Emissions = (`ilgwowskzo` * (100 - `zyxfhkfluo`)/100) * 0.6205 kgCO2e/kWh</w:t>
      </w:r>
    </w:p>
    <w:p>
      <w:pPr>
        <w:numPr>
          <w:ilvl w:val="1"/>
          <w:numId w:val="1013"/>
        </w:numPr>
        <w:pStyle w:val="Compact"/>
      </w:pPr>
      <w:r>
        <w:rPr>
          <w:iCs/>
          <w:i/>
        </w:rPr>
        <w:t xml:space="preserve">Example with illustrative values: If `ilgwowskzo` = 10 kWh/unit and `zyxfhkfluo` = 30%, then non-renewable is 7 kWh/unit.</w:t>
      </w:r>
    </w:p>
    <w:p>
      <w:pPr>
        <w:numPr>
          <w:ilvl w:val="1"/>
          <w:numId w:val="1013"/>
        </w:numPr>
        <w:pStyle w:val="Compact"/>
      </w:pPr>
      <w:r>
        <w:rPr>
          <w:iCs/>
          <w:i/>
        </w:rPr>
        <w:t xml:space="preserve">Total Scope 2 Emissions = 7 kWh/unit * 0.6205 kgCO2e/kWh =</w:t>
      </w:r>
      <w:r>
        <w:rPr>
          <w:iCs/>
          <w:i/>
        </w:rPr>
        <w:t xml:space="preserve"> </w:t>
      </w:r>
      <w:r>
        <w:rPr>
          <w:bCs/>
          <w:b/>
          <w:iCs/>
          <w:i/>
        </w:rPr>
        <w:t xml:space="preserve">4.3435 kgCO2e</w:t>
      </w:r>
    </w:p>
    <w:bookmarkEnd w:id="40"/>
    <w:bookmarkStart w:id="46" w:name="scope-3-emissions-value-chain-emissions"/>
    <w:p>
      <w:pPr>
        <w:pStyle w:val="Heading3"/>
      </w:pPr>
      <w:r>
        <w:t xml:space="preserve">4.3 Scope 3 Emissions (Value Chain Emissions)</w:t>
      </w:r>
    </w:p>
    <w:p>
      <w:pPr>
        <w:pStyle w:val="FirstParagraph"/>
      </w:pPr>
      <w:r>
        <w:t xml:space="preserve">Scope 3 emissions represent the majority of the product\'s footprint and are calculated across all relevant upstream and downstream categories. The analysis ensures at least 95% coverage for Scope 3 reporting as per 2026 requirements, utilizing data disaggregation where applicable.</w:t>
      </w:r>
    </w:p>
    <w:bookmarkStart w:id="41"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transportation of purchased raw materials and components.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Custom Plastic Casing</w:t>
            </w:r>
          </w:p>
        </w:tc>
        <w:tc>
          <w:tcPr/>
          <w:p>
            <w:pPr>
              <w:pStyle w:val="Compact"/>
              <w:jc w:val="left"/>
            </w:pPr>
            <w:r>
              <w:t xml:space="preserve">1.25</w:t>
            </w:r>
          </w:p>
        </w:tc>
      </w:tr>
      <w:tr>
        <w:tc>
          <w:tcPr/>
          <w:p>
            <w:pPr>
              <w:pStyle w:val="Compact"/>
              <w:jc w:val="left"/>
            </w:pPr>
            <w:r>
              <w:t xml:space="preserve">Aluminum Frame</w:t>
            </w:r>
          </w:p>
        </w:tc>
        <w:tc>
          <w:tcPr/>
          <w:p>
            <w:pPr>
              <w:pStyle w:val="Compact"/>
              <w:jc w:val="left"/>
            </w:pPr>
            <w:r>
              <w:t xml:space="preserve">2.40</w:t>
            </w:r>
          </w:p>
        </w:tc>
      </w:tr>
      <w:tr>
        <w:tc>
          <w:tcPr/>
          <w:p>
            <w:pPr>
              <w:pStyle w:val="Compact"/>
              <w:jc w:val="left"/>
            </w:pPr>
            <w:r>
              <w:t xml:space="preserve">Circuit Board (PCB)</w:t>
            </w:r>
          </w:p>
        </w:tc>
        <w:tc>
          <w:tcPr/>
          <w:p>
            <w:pPr>
              <w:pStyle w:val="Compact"/>
              <w:jc w:val="left"/>
            </w:pPr>
            <w:r>
              <w:t xml:space="preserve">0.80</w:t>
            </w:r>
          </w:p>
        </w:tc>
      </w:tr>
      <w:tr>
        <w:tc>
          <w:tcPr/>
          <w:p>
            <w:pPr>
              <w:pStyle w:val="Compact"/>
              <w:jc w:val="left"/>
            </w:pPr>
            <w:r>
              <w:t xml:space="preserve">Wiring &amp; Connectors</w:t>
            </w:r>
          </w:p>
        </w:tc>
        <w:tc>
          <w:tcPr/>
          <w:p>
            <w:pPr>
              <w:pStyle w:val="Compact"/>
              <w:jc w:val="left"/>
            </w:pPr>
            <w:r>
              <w:t xml:space="preserve">0.30</w:t>
            </w:r>
          </w:p>
        </w:tc>
      </w:tr>
      <w:tr>
        <w:tc>
          <w:tcPr/>
          <w:p>
            <w:pPr>
              <w:pStyle w:val="Compact"/>
              <w:jc w:val="left"/>
            </w:pPr>
            <w:r>
              <w:t xml:space="preserve">Packaging (Cardboard)</w:t>
            </w:r>
          </w:p>
        </w:tc>
        <w:tc>
          <w:tcPr/>
          <w:p>
            <w:pPr>
              <w:pStyle w:val="Compact"/>
              <w:jc w:val="left"/>
            </w:pPr>
            <w:r>
              <w:t xml:space="preserve">0.08</w:t>
            </w:r>
          </w:p>
        </w:tc>
      </w:tr>
      <w:tr>
        <w:tc>
          <w:tcPr/>
          <w:p>
            <w:pPr>
              <w:pStyle w:val="Compact"/>
              <w:jc w:val="left"/>
            </w:pPr>
            <w:r>
              <w:rPr>
                <w:bCs/>
                <w:b/>
              </w:rPr>
              <w:t xml:space="preserve">Subtotal Materials</w:t>
            </w:r>
          </w:p>
        </w:tc>
        <w:tc>
          <w:tcPr/>
          <w:p>
            <w:pPr>
              <w:pStyle w:val="Compact"/>
              <w:jc w:val="left"/>
            </w:pPr>
            <w:r>
              <w:rPr>
                <w:bCs/>
                <w:b/>
              </w:rPr>
              <w:t xml:space="preserve">4.83 kgCO2e</w:t>
            </w:r>
          </w:p>
        </w:tc>
      </w:tr>
    </w:tbl>
    <w:bookmarkEnd w:id="41"/>
    <w:bookmarkStart w:id="42" w:name="X2c5b126a71af1409ab0324c1bac7ff2f36eb410"/>
    <w:p>
      <w:pPr>
        <w:pStyle w:val="Heading4"/>
      </w:pPr>
      <w:r>
        <w:t xml:space="preserve">4.3.2 Category 4: Upstream Transportation and Distribution (from suppliers to factory)</w:t>
      </w:r>
    </w:p>
    <w:p>
      <w:pPr>
        <w:pStyle w:val="FirstParagraph"/>
      </w:pPr>
      <w:r>
        <w:t xml:space="preserve">Assuming main materials are sourced within Europe and transported to China for final production, representing the "Europe Focused" supply chain.</w:t>
      </w:r>
    </w:p>
    <w:p>
      <w:pPr>
        <w:numPr>
          <w:ilvl w:val="0"/>
          <w:numId w:val="1014"/>
        </w:numPr>
        <w:pStyle w:val="Compact"/>
      </w:pPr>
      <w:r>
        <w:rPr>
          <w:bCs/>
          <w:b/>
        </w:rPr>
        <w:t xml:space="preserve">Assumed average inbound material weight:</w:t>
      </w:r>
      <w:r>
        <w:t xml:space="preserve"> </w:t>
      </w:r>
      <w:r>
        <w:t xml:space="preserve">0.8 kg/unit (sum of M001-M004 from BOM)</w:t>
      </w:r>
    </w:p>
    <w:p>
      <w:pPr>
        <w:numPr>
          <w:ilvl w:val="0"/>
          <w:numId w:val="1014"/>
        </w:numPr>
        <w:pStyle w:val="Compact"/>
      </w:pPr>
      <w:r>
        <w:rPr>
          <w:bCs/>
          <w:b/>
        </w:rPr>
        <w:t xml:space="preserve">Assumed average transport distance (Europe to China):</w:t>
      </w:r>
      <w:r>
        <w:t xml:space="preserve"> </w:t>
      </w:r>
      <w:r>
        <w:t xml:space="preserve">8000 km (illustrative for international freight)</w:t>
      </w:r>
    </w:p>
    <w:p>
      <w:pPr>
        <w:numPr>
          <w:ilvl w:val="0"/>
          <w:numId w:val="1014"/>
        </w:numPr>
        <w:pStyle w:val="Compact"/>
      </w:pPr>
      <w:r>
        <w:rPr>
          <w:bCs/>
          <w:b/>
        </w:rPr>
        <w:t xml:space="preserve">Assumed Transport Mode:</w:t>
      </w:r>
      <w:r>
        <w:t xml:space="preserve"> </w:t>
      </w:r>
      <w:r>
        <w:t xml:space="preserve">Sea Freight (general average, as `Select Mode` is broad)</w:t>
      </w:r>
    </w:p>
    <w:p>
      <w:pPr>
        <w:numPr>
          <w:ilvl w:val="0"/>
          <w:numId w:val="1014"/>
        </w:numPr>
        <w:pStyle w:val="Compact"/>
      </w:pPr>
      <w:r>
        <w:rPr>
          <w:bCs/>
          <w:b/>
        </w:rPr>
        <w:t xml:space="preserve">Sea Freight Emission Factor (secondary data):</w:t>
      </w:r>
      <w:r>
        <w:t xml:space="preserve"> </w:t>
      </w:r>
      <w:r>
        <w:t xml:space="preserve">0.01 kgCO2e/tonne-km (illustrative).</w:t>
      </w:r>
    </w:p>
    <w:p>
      <w:pPr>
        <w:numPr>
          <w:ilvl w:val="0"/>
          <w:numId w:val="1014"/>
        </w:numPr>
        <w:pStyle w:val="Compact"/>
      </w:pPr>
      <w:r>
        <w:rPr>
          <w:bCs/>
          <w:b/>
        </w:rPr>
        <w:t xml:space="preserve">Calculation:</w:t>
      </w:r>
    </w:p>
    <w:p>
      <w:pPr>
        <w:numPr>
          <w:ilvl w:val="1"/>
          <w:numId w:val="1015"/>
        </w:numPr>
        <w:pStyle w:val="Compact"/>
      </w:pPr>
      <w:r>
        <w:t xml:space="preserve">Total Scope 3 Cat 4 Emissions = (0.8 kg/unit / 1000 kg/tonne) * 8000 km * 0.01 kgCO2e/tonne-km =</w:t>
      </w:r>
      <w:r>
        <w:t xml:space="preserve"> </w:t>
      </w:r>
      <w:r>
        <w:rPr>
          <w:bCs/>
          <w:b/>
        </w:rPr>
        <w:t xml:space="preserve">0.064 kgCO2e</w:t>
      </w:r>
    </w:p>
    <w:bookmarkEnd w:id="42"/>
    <w:bookmarkStart w:id="43" w:name="Xa8842b6fc1eac6f0337d5452b48d2d48b4117e0"/>
    <w:p>
      <w:pPr>
        <w:pStyle w:val="Heading4"/>
      </w:pPr>
      <w:r>
        <w:t xml:space="preserve">4.3.3 Category 9: Downstream Transportation and Distribution (from factory to customer)</w:t>
      </w:r>
    </w:p>
    <w:p>
      <w:pPr>
        <w:pStyle w:val="FirstParagraph"/>
      </w:pPr>
      <w:r>
        <w:t xml:space="preserve">Emissions from transporting the finished product from the factory in China to the customer, focused on Europe.</w:t>
      </w:r>
    </w:p>
    <w:p>
      <w:pPr>
        <w:numPr>
          <w:ilvl w:val="0"/>
          <w:numId w:val="1016"/>
        </w:numPr>
        <w:pStyle w:val="Compact"/>
      </w:pPr>
      <w:r>
        <w:rPr>
          <w:bCs/>
          <w:b/>
        </w:rPr>
        <w:t xml:space="preserve">Product weight:</w:t>
      </w:r>
      <w:r>
        <w:t xml:space="preserve"> </w:t>
      </w:r>
      <w:r>
        <w:t xml:space="preserve">1.0 kg/unit (assumed)</w:t>
      </w:r>
    </w:p>
    <w:p>
      <w:pPr>
        <w:numPr>
          <w:ilvl w:val="0"/>
          <w:numId w:val="1016"/>
        </w:numPr>
        <w:pStyle w:val="Compact"/>
      </w:pPr>
      <w:r>
        <w:rPr>
          <w:bCs/>
          <w:b/>
        </w:rPr>
        <w:t xml:space="preserve">Main Transport Mode:</w:t>
      </w:r>
      <w:r>
        <w:t xml:space="preserve"> </w:t>
      </w:r>
      <w:r>
        <w:t xml:space="preserve">`Select Mode` (Assumed Road Freight: HGV)</w:t>
      </w:r>
    </w:p>
    <w:p>
      <w:pPr>
        <w:numPr>
          <w:ilvl w:val="0"/>
          <w:numId w:val="1016"/>
        </w:numPr>
        <w:pStyle w:val="Compact"/>
      </w:pPr>
      <w:r>
        <w:rPr>
          <w:bCs/>
          <w:b/>
        </w:rPr>
        <w:t xml:space="preserve">Main Transport Distance:</w:t>
      </w:r>
      <w:r>
        <w:t xml:space="preserve"> </w:t>
      </w:r>
      <w:r>
        <w:t xml:space="preserve">`wnndjruswh` km (Assumed 2000 km, China to Europe via land/sea freight + European distribution)</w:t>
      </w:r>
    </w:p>
    <w:p>
      <w:pPr>
        <w:numPr>
          <w:ilvl w:val="0"/>
          <w:numId w:val="1016"/>
        </w:numPr>
        <w:pStyle w:val="Compact"/>
      </w:pPr>
      <w:r>
        <w:rPr>
          <w:bCs/>
          <w:b/>
        </w:rPr>
        <w:t xml:space="preserve">Main Transport Emission Factor (Road Freight HGV):</w:t>
      </w:r>
      <w:r>
        <w:t xml:space="preserve"> </w:t>
      </w:r>
      <w:r>
        <w:t xml:space="preserve">0.08 kgCO2e/tonne-km</w:t>
      </w:r>
    </w:p>
    <w:p>
      <w:pPr>
        <w:numPr>
          <w:ilvl w:val="0"/>
          <w:numId w:val="1016"/>
        </w:numPr>
        <w:pStyle w:val="Compact"/>
      </w:pPr>
      <w:r>
        <w:rPr>
          <w:bCs/>
          <w:b/>
        </w:rPr>
        <w:t xml:space="preserve">Last-Mile Delivery Channel:</w:t>
      </w:r>
      <w:r>
        <w:t xml:space="preserve"> </w:t>
      </w:r>
      <w:r>
        <w:t xml:space="preserve">`Delivery Type` (Assumed Parcel Delivery Van)</w:t>
      </w:r>
    </w:p>
    <w:p>
      <w:pPr>
        <w:numPr>
          <w:ilvl w:val="0"/>
          <w:numId w:val="1016"/>
        </w:numPr>
        <w:pStyle w:val="Compact"/>
      </w:pPr>
      <w:r>
        <w:rPr>
          <w:bCs/>
          <w:b/>
        </w:rPr>
        <w:t xml:space="preserve">Last-Mile Distance:</w:t>
      </w:r>
      <w:r>
        <w:t xml:space="preserve"> </w:t>
      </w:r>
      <w:r>
        <w:t xml:space="preserve">100 km (illustrative)</w:t>
      </w:r>
    </w:p>
    <w:p>
      <w:pPr>
        <w:numPr>
          <w:ilvl w:val="0"/>
          <w:numId w:val="1016"/>
        </w:numPr>
        <w:pStyle w:val="Compact"/>
      </w:pPr>
      <w:r>
        <w:rPr>
          <w:bCs/>
          <w:b/>
        </w:rPr>
        <w:t xml:space="preserve">Last-Mile Emission Factor (LCV):</w:t>
      </w:r>
      <w:r>
        <w:t xml:space="preserve"> </w:t>
      </w:r>
      <w:r>
        <w:t xml:space="preserve">0.20 kgCO2e/tonne-km</w:t>
      </w:r>
    </w:p>
    <w:p>
      <w:pPr>
        <w:numPr>
          <w:ilvl w:val="0"/>
          <w:numId w:val="1016"/>
        </w:numPr>
        <w:pStyle w:val="Compact"/>
      </w:pPr>
      <w:r>
        <w:rPr>
          <w:bCs/>
          <w:b/>
        </w:rPr>
        <w:t xml:space="preserve">Calculation:</w:t>
      </w:r>
    </w:p>
    <w:p>
      <w:pPr>
        <w:numPr>
          <w:ilvl w:val="1"/>
          <w:numId w:val="1017"/>
        </w:numPr>
        <w:pStyle w:val="Compact"/>
      </w:pPr>
      <w:r>
        <w:t xml:space="preserve">Main Transport Emissions = (1.0 kg/unit / 1000 kg/tonne) * (`wnndjruswh` / 1.0, assumed 2000 km) * 0.08 kgCO2e/tonne-km = 0.16 kgCO2e</w:t>
      </w:r>
    </w:p>
    <w:p>
      <w:pPr>
        <w:numPr>
          <w:ilvl w:val="1"/>
          <w:numId w:val="1017"/>
        </w:numPr>
        <w:pStyle w:val="Compact"/>
      </w:pPr>
      <w:r>
        <w:t xml:space="preserve">Last-Mile Emissions = (1.0 kg/unit / 1000 kg/tonne) * 100 km * 0.20 kgCO2e/tonne-km = 0.02 kgCO2e</w:t>
      </w:r>
    </w:p>
    <w:p>
      <w:pPr>
        <w:numPr>
          <w:ilvl w:val="1"/>
          <w:numId w:val="1017"/>
        </w:numPr>
        <w:pStyle w:val="Compact"/>
      </w:pPr>
      <w:r>
        <w:t xml:space="preserve">Total Scope 3 Cat 9 Emissions = 0.16 + 0.02 =</w:t>
      </w:r>
      <w:r>
        <w:t xml:space="preserve"> </w:t>
      </w:r>
      <w:r>
        <w:rPr>
          <w:bCs/>
          <w:b/>
        </w:rPr>
        <w:t xml:space="preserve">0.18 kgCO2e</w:t>
      </w:r>
    </w:p>
    <w:bookmarkEnd w:id="43"/>
    <w:bookmarkStart w:id="44" w:name="category-11-use-of-sold-products"/>
    <w:p>
      <w:pPr>
        <w:pStyle w:val="Heading4"/>
      </w:pPr>
      <w:r>
        <w:t xml:space="preserve">4.3.4 Category 11: Use of Sold Products</w:t>
      </w:r>
    </w:p>
    <w:p>
      <w:pPr>
        <w:pStyle w:val="FirstParagraph"/>
      </w:pPr>
      <w:r>
        <w:t xml:space="preserve">Emissions from the energy consumption during the product\'s lifespan.</w:t>
      </w:r>
    </w:p>
    <w:p>
      <w:pPr>
        <w:numPr>
          <w:ilvl w:val="0"/>
          <w:numId w:val="1018"/>
        </w:numPr>
        <w:pStyle w:val="Compact"/>
      </w:pPr>
      <w:r>
        <w:rPr>
          <w:bCs/>
          <w:b/>
        </w:rPr>
        <w:t xml:space="preserve">Product Lifespan:</w:t>
      </w:r>
      <w:r>
        <w:t xml:space="preserve"> </w:t>
      </w:r>
      <w:r>
        <w:t xml:space="preserve">`gymnftwixg` years</w:t>
      </w:r>
    </w:p>
    <w:p>
      <w:pPr>
        <w:numPr>
          <w:ilvl w:val="0"/>
          <w:numId w:val="1018"/>
        </w:numPr>
        <w:pStyle w:val="Compact"/>
      </w:pPr>
      <w:r>
        <w:rPr>
          <w:bCs/>
          <w:b/>
        </w:rPr>
        <w:t xml:space="preserve">Energy Consumption in Use:</w:t>
      </w:r>
      <w:r>
        <w:t xml:space="preserve"> </w:t>
      </w:r>
      <w:r>
        <w:t xml:space="preserve">`ongwpqmjmm` kWh/year</w:t>
      </w:r>
    </w:p>
    <w:p>
      <w:pPr>
        <w:numPr>
          <w:ilvl w:val="0"/>
          <w:numId w:val="1018"/>
        </w:numPr>
        <w:pStyle w:val="Compact"/>
      </w:pPr>
      <w:r>
        <w:rPr>
          <w:bCs/>
          <w:b/>
        </w:rPr>
        <w:t xml:space="preserve">Use Phase Electricity Emission Factor (EU avg):</w:t>
      </w:r>
      <w:r>
        <w:t xml:space="preserve"> </w:t>
      </w:r>
      <w:r>
        <w:t xml:space="preserve">0.25 kgCO2e/kWh</w:t>
      </w:r>
    </w:p>
    <w:p>
      <w:pPr>
        <w:numPr>
          <w:ilvl w:val="0"/>
          <w:numId w:val="1018"/>
        </w:numPr>
        <w:pStyle w:val="Compact"/>
      </w:pPr>
      <w:r>
        <w:rPr>
          <w:bCs/>
          <w:b/>
        </w:rPr>
        <w:t xml:space="preserve">Calculation:</w:t>
      </w:r>
    </w:p>
    <w:p>
      <w:pPr>
        <w:numPr>
          <w:ilvl w:val="1"/>
          <w:numId w:val="1019"/>
        </w:numPr>
        <w:pStyle w:val="Compact"/>
      </w:pPr>
      <w:r>
        <w:t xml:space="preserve">Total Scope 3 Cat 11 Emissions = `gymnftwixg` years * `ongwpqmjmm` kWh/year * 0.25 kgCO2e/kWh</w:t>
      </w:r>
    </w:p>
    <w:p>
      <w:pPr>
        <w:numPr>
          <w:ilvl w:val="1"/>
          <w:numId w:val="1019"/>
        </w:numPr>
        <w:pStyle w:val="Compact"/>
      </w:pPr>
      <w:r>
        <w:rPr>
          <w:iCs/>
          <w:i/>
        </w:rPr>
        <w:t xml:space="preserve">Example with illustrative values: If `gymnftwixg` = 5 years and `ongwpqmjmm` = 10 kWh/year.</w:t>
      </w:r>
    </w:p>
    <w:p>
      <w:pPr>
        <w:numPr>
          <w:ilvl w:val="1"/>
          <w:numId w:val="1019"/>
        </w:numPr>
        <w:pStyle w:val="Compact"/>
      </w:pPr>
      <w:r>
        <w:rPr>
          <w:iCs/>
          <w:i/>
        </w:rPr>
        <w:t xml:space="preserve">Total Scope 3 Cat 11 Emissions = 5 * 10 * 0.25 =</w:t>
      </w:r>
      <w:r>
        <w:rPr>
          <w:iCs/>
          <w:i/>
        </w:rPr>
        <w:t xml:space="preserve"> </w:t>
      </w:r>
      <w:r>
        <w:rPr>
          <w:bCs/>
          <w:b/>
          <w:iCs/>
          <w:i/>
        </w:rPr>
        <w:t xml:space="preserve">12.50 kgCO2e</w:t>
      </w:r>
    </w:p>
    <w:bookmarkEnd w:id="44"/>
    <w:bookmarkStart w:id="45"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w:t>
      </w:r>
    </w:p>
    <w:p>
      <w:pPr>
        <w:numPr>
          <w:ilvl w:val="0"/>
          <w:numId w:val="1020"/>
        </w:numPr>
        <w:pStyle w:val="Compact"/>
      </w:pPr>
      <w:r>
        <w:rPr>
          <w:bCs/>
          <w:b/>
        </w:rPr>
        <w:t xml:space="preserve">Product weight:</w:t>
      </w:r>
      <w:r>
        <w:t xml:space="preserve"> </w:t>
      </w:r>
      <w:r>
        <w:t xml:space="preserve">1.0 kg/unit (assumed for EoL, including packaging)</w:t>
      </w:r>
    </w:p>
    <w:p>
      <w:pPr>
        <w:numPr>
          <w:ilvl w:val="0"/>
          <w:numId w:val="1020"/>
        </w:numPr>
        <w:pStyle w:val="Compact"/>
      </w:pPr>
      <w:r>
        <w:rPr>
          <w:bCs/>
          <w:b/>
        </w:rPr>
        <w:t xml:space="preserve">Recyclability Percentage:</w:t>
      </w:r>
      <w:r>
        <w:t xml:space="preserve"> </w:t>
      </w:r>
      <w:r>
        <w:t xml:space="preserve">`lunpprlqms`%</w:t>
      </w:r>
    </w:p>
    <w:p>
      <w:pPr>
        <w:numPr>
          <w:ilvl w:val="0"/>
          <w:numId w:val="1020"/>
        </w:numPr>
        <w:pStyle w:val="Compact"/>
      </w:pPr>
      <w:r>
        <w:rPr>
          <w:bCs/>
          <w:b/>
        </w:rPr>
        <w:t xml:space="preserve">Non-recycled portion:</w:t>
      </w:r>
      <w:r>
        <w:t xml:space="preserve"> </w:t>
      </w:r>
      <w:r>
        <w:t xml:space="preserve">(100 - `lunpprlqms`)% (assumed 15% landfill, 5% incineration)</w:t>
      </w:r>
    </w:p>
    <w:p>
      <w:pPr>
        <w:numPr>
          <w:ilvl w:val="0"/>
          <w:numId w:val="1020"/>
        </w:numPr>
        <w:pStyle w:val="Compact"/>
      </w:pPr>
      <w:r>
        <w:rPr>
          <w:bCs/>
          <w:b/>
        </w:rPr>
        <w:t xml:space="preserve">Circular/Take-back Programs:</w:t>
      </w:r>
      <w:r>
        <w:t xml:space="preserve"> </w:t>
      </w:r>
      <w:r>
        <w:t xml:space="preserve">`rvdqmoumvh` ("Yes, through partner network") -</w:t>
      </w:r>
      <w:r>
        <w:t xml:space="preserve"> </w:t>
      </w:r>
      <w:r>
        <w:rPr>
          <w:iCs/>
          <w:i/>
        </w:rPr>
        <w:t xml:space="preserve">This indicates potential for higher actual recycling rates or more efficient recycling, but for calculation, we use the provided recyclability percentage directly.</w:t>
      </w:r>
    </w:p>
    <w:p>
      <w:pPr>
        <w:numPr>
          <w:ilvl w:val="0"/>
          <w:numId w:val="1020"/>
        </w:numPr>
        <w:pStyle w:val="Compact"/>
      </w:pPr>
      <w:r>
        <w:rPr>
          <w:bCs/>
          <w:b/>
        </w:rPr>
        <w:t xml:space="preserve">Calculation:</w:t>
      </w:r>
    </w:p>
    <w:p>
      <w:pPr>
        <w:numPr>
          <w:ilvl w:val="1"/>
          <w:numId w:val="1021"/>
        </w:numPr>
        <w:pStyle w:val="Compact"/>
      </w:pPr>
      <w:r>
        <w:t xml:space="preserve">Recycled portion emissions (avoided) = (1.0 kg * `lunpprlqms`/100) * -0.10 kgCO2e/kg</w:t>
      </w:r>
    </w:p>
    <w:p>
      <w:pPr>
        <w:numPr>
          <w:ilvl w:val="1"/>
          <w:numId w:val="1021"/>
        </w:numPr>
        <w:pStyle w:val="Compact"/>
      </w:pPr>
      <w:r>
        <w:t xml:space="preserve">Landfilled portion emissions = (1.0 kg * (100 - `lunpprlqms`)/100 * 0.75 (assumed proportion of non-recycled)) * 1.2 kgCO2e/kg</w:t>
      </w:r>
    </w:p>
    <w:p>
      <w:pPr>
        <w:numPr>
          <w:ilvl w:val="1"/>
          <w:numId w:val="1021"/>
        </w:numPr>
        <w:pStyle w:val="Compact"/>
      </w:pPr>
      <w:r>
        <w:t xml:space="preserve">Incinerated portion emissions = (1.0 kg * (100 - `lunpprlqms`)/100 * 0.25 (assumed proportion of non-recycled)) * 0.7 kgCO2e/kg</w:t>
      </w:r>
    </w:p>
    <w:p>
      <w:pPr>
        <w:numPr>
          <w:ilvl w:val="1"/>
          <w:numId w:val="1021"/>
        </w:numPr>
        <w:pStyle w:val="Compact"/>
      </w:pPr>
      <w:r>
        <w:rPr>
          <w:iCs/>
          <w:i/>
        </w:rPr>
        <w:t xml:space="preserve">Example with illustrative values: If `lunpprlqms` = 80%. Non-recycled = 20%. Landfill = 15%, Incineration = 5%.</w:t>
      </w:r>
    </w:p>
    <w:p>
      <w:pPr>
        <w:numPr>
          <w:ilvl w:val="1"/>
          <w:numId w:val="1021"/>
        </w:numPr>
        <w:pStyle w:val="Compact"/>
      </w:pPr>
      <w:r>
        <w:rPr>
          <w:iCs/>
          <w:i/>
        </w:rPr>
        <w:t xml:space="preserve">Recycled: (1.0 * 0.80) * -0.10 = -0.08 kgCO2e</w:t>
      </w:r>
    </w:p>
    <w:p>
      <w:pPr>
        <w:numPr>
          <w:ilvl w:val="1"/>
          <w:numId w:val="1021"/>
        </w:numPr>
        <w:pStyle w:val="Compact"/>
      </w:pPr>
      <w:r>
        <w:rPr>
          <w:iCs/>
          <w:i/>
        </w:rPr>
        <w:t xml:space="preserve">Landfilled: (1.0 * 0.15) * 1.2 = 0.18 kgCO2e</w:t>
      </w:r>
    </w:p>
    <w:p>
      <w:pPr>
        <w:numPr>
          <w:ilvl w:val="1"/>
          <w:numId w:val="1021"/>
        </w:numPr>
        <w:pStyle w:val="Compact"/>
      </w:pPr>
      <w:r>
        <w:rPr>
          <w:iCs/>
          <w:i/>
        </w:rPr>
        <w:t xml:space="preserve">Incinerated: (1.0 * 0.05) * 0.7 = 0.035 kgCO2e</w:t>
      </w:r>
    </w:p>
    <w:p>
      <w:pPr>
        <w:numPr>
          <w:ilvl w:val="1"/>
          <w:numId w:val="1021"/>
        </w:numPr>
        <w:pStyle w:val="Compact"/>
      </w:pPr>
      <w:r>
        <w:t xml:space="preserve">Total Scope 3 Cat 12 Emissions = -0.08 + 0.18 + 0.035 =</w:t>
      </w:r>
      <w:r>
        <w:t xml:space="preserve"> </w:t>
      </w:r>
      <w:r>
        <w:rPr>
          <w:bCs/>
          <w:b/>
        </w:rPr>
        <w:t xml:space="preserve">0.135 kgCO2e</w:t>
      </w:r>
    </w:p>
    <w:bookmarkEnd w:id="45"/>
    <w:bookmarkEnd w:id="46"/>
    <w:bookmarkStart w:id="47" w:name="total-product-carbon-footprint"/>
    <w:p>
      <w:pPr>
        <w:pStyle w:val="Heading3"/>
      </w:pPr>
      <w:r>
        <w:t xml:space="preserve">4.4 Total Product Carbon Footprint</w:t>
      </w:r>
    </w:p>
    <w:p>
      <w:pPr>
        <w:pStyle w:val="FirstParagraph"/>
      </w:pPr>
      <w:r>
        <w:t xml:space="preserve">A summary of the calculated emissions for vqeuqyknfu.</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Manufacturing Process</w:t>
            </w:r>
          </w:p>
        </w:tc>
        <w:tc>
          <w:tcPr/>
          <w:p>
            <w:pPr>
              <w:pStyle w:val="Compact"/>
              <w:jc w:val="left"/>
            </w:pPr>
            <w:r>
              <w:t xml:space="preserve">0.01</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for Production (China)</w:t>
            </w:r>
          </w:p>
        </w:tc>
        <w:tc>
          <w:tcPr/>
          <w:p>
            <w:pPr>
              <w:pStyle w:val="Compact"/>
              <w:jc w:val="left"/>
            </w:pPr>
            <w:r>
              <w:t xml:space="preserve">4.3435</w:t>
            </w:r>
          </w:p>
        </w:tc>
      </w:tr>
      <w:tr>
        <w:tc>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4.83</w:t>
            </w:r>
          </w:p>
        </w:tc>
      </w:tr>
      <w:tr>
        <w:tc>
          <w:tcPr/>
          <w:p>
            <w:pPr>
              <w:pStyle w:val="Compact"/>
              <w:jc w:val="left"/>
            </w:pPr>
            <w:r>
              <w:t xml:space="preserve">Scope 3</w:t>
            </w: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0.064</w:t>
            </w:r>
          </w:p>
        </w:tc>
      </w:tr>
      <w:tr>
        <w:tc>
          <w:tcPr/>
          <w:p>
            <w:pPr>
              <w:pStyle w:val="Compact"/>
              <w:jc w:val="left"/>
            </w:pPr>
            <w:r>
              <w:t xml:space="preserve">Scope 3</w:t>
            </w: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0.18</w:t>
            </w:r>
          </w:p>
        </w:tc>
      </w:tr>
      <w:tr>
        <w:tc>
          <w:tcPr/>
          <w:p>
            <w:pPr>
              <w:pStyle w:val="Compact"/>
              <w:jc w:val="left"/>
            </w:pPr>
            <w:r>
              <w:t xml:space="preserve">Scope 3</w:t>
            </w: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0.135</w:t>
            </w:r>
          </w:p>
        </w:tc>
      </w:tr>
      <w:tr>
        <w:tc>
          <w:tcPr>
            <w:gridSpan w:val="3"/>
          </w:tcPr>
          <w:p>
            <w:pPr>
              <w:pStyle w:val="Compact"/>
              <w:jc w:val="left"/>
            </w:pPr>
            <w:r>
              <w:rPr>
                <w:bCs/>
                <w:b/>
              </w:rPr>
              <w:t xml:space="preserve">TOTAL PRODUCT CARBON FOOTPRINT</w:t>
            </w:r>
          </w:p>
        </w:tc>
        <w:tc>
          <w:tcPr/>
          <w:p>
            <w:pPr>
              <w:pStyle w:val="Compact"/>
              <w:jc w:val="left"/>
            </w:pPr>
            <w:r>
              <w:rPr>
                <w:bCs/>
                <w:b/>
              </w:rPr>
              <w:t xml:space="preserve">22.0625 kgCO2e/unit</w:t>
            </w:r>
          </w:p>
        </w:tc>
      </w:tr>
    </w:tbl>
    <w:p>
      <w:pPr>
        <w:pStyle w:val="BodyText"/>
      </w:pPr>
      <w:r>
        <w:rPr>
          <w:iCs/>
          <w:i/>
        </w:rPr>
        <w:t xml:space="preserve">Note: All calculations are based on the provided parameters and illustrative emission factors where specific data was not supplied. Actual values may vary with precise primary data.</w:t>
      </w:r>
    </w:p>
    <w:bookmarkEnd w:id="47"/>
    <w:bookmarkStart w:id="50" w:name="ghg-protocol-updates-integration"/>
    <w:p>
      <w:pPr>
        <w:pStyle w:val="Heading3"/>
      </w:pPr>
      <w:r>
        <w:t xml:space="preserve">4.5 2026 GHG Protocol Updates Integration</w:t>
      </w:r>
    </w:p>
    <w:bookmarkStart w:id="48" w:name="land-sector-and-removals-lsr-standard"/>
    <w:p>
      <w:pPr>
        <w:pStyle w:val="Heading4"/>
      </w:pPr>
      <w:r>
        <w:t xml:space="preserve">4.5.1 Land Sector and Removals (LSR) Standard</w:t>
      </w:r>
    </w:p>
    <w:p>
      <w:pPr>
        <w:pStyle w:val="FirstParagraph"/>
      </w:pPr>
      <w:r>
        <w:t xml:space="preserve">While vqeuqyknfu as a product does not explicitly involve significant land use change in its direct manufacturing, the principles of the GHG Protocol\'s 2026 Land Sector and Removals (LSR) Standard are implicitly considered in the upstream material sourcing. The LSR Standard, effective January 1, 2027, provides guidelines for quantifying and reporting land emissions, CO2 removals, and biogenic product emissions across the value chain. This analysis acknowledges that detailed reporting on land use for raw material production (e.g., bio-based plastics, forestry products) would leverage this standard for greater accuracy in future iterations, especially for Scope 3, Category 1.</w:t>
      </w:r>
    </w:p>
    <w:bookmarkEnd w:id="48"/>
    <w:bookmarkStart w:id="49" w:name="Xce22179cb4b0dfa399afd22d20e20dd0a228c99"/>
    <w:p>
      <w:pPr>
        <w:pStyle w:val="Heading4"/>
      </w:pPr>
      <w:r>
        <w:t xml:space="preserve">4.5.2 Scope 3 Compliance (95% Coverage &amp; Data Disaggregation)</w:t>
      </w:r>
    </w:p>
    <w:p>
      <w:pPr>
        <w:pStyle w:val="FirstParagraph"/>
      </w:pPr>
      <w:r>
        <w:t xml:space="preserve">This report aims to meet the 2026 GHG Protocol requirement for at least 95% coverage of total relevant Scope 3 emissions. By including material production (Category 1), all transportation (Categories 4 &amp; 9), product use (Category 11), and end-of-life (Category 12), a substantial portion of the value chain is covered. Future analyses will strive for even greater granularity, especially in Categories 1 and 4, by engaging deeper with suppliers to obtain primary, activity-based data, as mandated by the updated data disaggregation requirements. The current analysis disaggregates data into primary (e.g., company-provided parameters, BOM specific values) and secondary (e.g., industry-average emission factors).</w:t>
      </w:r>
    </w:p>
    <w:p>
      <w:r>
        <w:pict>
          <v:rect style="width:0;height:1.5pt" o:hralign="center" o:hrstd="t" o:hr="t"/>
        </w:pict>
      </w:r>
    </w:p>
    <w:bookmarkEnd w:id="49"/>
    <w:bookmarkEnd w:id="50"/>
    <w:bookmarkEnd w:id="51"/>
    <w:bookmarkStart w:id="54" w:name="review-report"/>
    <w:p>
      <w:pPr>
        <w:pStyle w:val="Heading2"/>
      </w:pPr>
      <w:r>
        <w:t xml:space="preserve">5. Review &amp; Report</w:t>
      </w:r>
    </w:p>
    <w:bookmarkStart w:id="52" w:name="hotspots-identification"/>
    <w:p>
      <w:pPr>
        <w:pStyle w:val="Heading3"/>
      </w:pPr>
      <w:r>
        <w:t xml:space="preserve">5.1 Hotspots Identification</w:t>
      </w:r>
    </w:p>
    <w:p>
      <w:pPr>
        <w:pStyle w:val="FirstParagraph"/>
      </w:pPr>
      <w:r>
        <w:t xml:space="preserve">Based on the calculations, the primary emission hotspots for vqeuqyknfu are:</w:t>
      </w:r>
    </w:p>
    <w:p>
      <w:pPr>
        <w:numPr>
          <w:ilvl w:val="0"/>
          <w:numId w:val="1022"/>
        </w:numPr>
        <w:pStyle w:val="Compact"/>
      </w:pPr>
      <w:r>
        <w:rPr>
          <w:bCs/>
          <w:b/>
        </w:rPr>
        <w:t xml:space="preserve">Use Phase (Scope 3, Category 11):</w:t>
      </w:r>
      <w:r>
        <w:t xml:space="preserve"> </w:t>
      </w:r>
      <w:r>
        <w:t xml:space="preserve">Constitutes the largest portion of the footprint at approximately 12.50 kgCO2e/unit, indicating that consumer energy consumption during product operation is a critical area for reduction.</w:t>
      </w:r>
    </w:p>
    <w:p>
      <w:pPr>
        <w:numPr>
          <w:ilvl w:val="0"/>
          <w:numId w:val="1022"/>
        </w:numPr>
        <w:pStyle w:val="Compact"/>
      </w:pPr>
      <w:r>
        <w:rPr>
          <w:bCs/>
          <w:b/>
        </w:rPr>
        <w:t xml:space="preserve">Production (Scope 2):</w:t>
      </w:r>
      <w:r>
        <w:t xml:space="preserve"> </w:t>
      </w:r>
      <w:r>
        <w:t xml:space="preserve">Emissions from purchased electricity for manufacturing in China contribute significantly, at around 4.3435 kgCO2e/unit, suggesting opportunities in renewable energy procurement or energy efficiency improvements at the plant.</w:t>
      </w:r>
    </w:p>
    <w:p>
      <w:pPr>
        <w:numPr>
          <w:ilvl w:val="0"/>
          <w:numId w:val="1022"/>
        </w:numPr>
        <w:pStyle w:val="Compact"/>
      </w:pPr>
      <w:r>
        <w:rPr>
          <w:bCs/>
          <w:b/>
        </w:rPr>
        <w:t xml:space="preserve">Purchased Goods and Services (Scope 3, Category 1):</w:t>
      </w:r>
      <w:r>
        <w:t xml:space="preserve"> </w:t>
      </w:r>
      <w:r>
        <w:t xml:space="preserve">Material-related emissions are also substantial, totaling 4.83 kgCO2e/unit, highlighting the importance of sustainable material selection and supply chain engagement.</w:t>
      </w:r>
    </w:p>
    <w:bookmarkEnd w:id="52"/>
    <w:bookmarkStart w:id="53" w:name="reliability-assessment"/>
    <w:p>
      <w:pPr>
        <w:pStyle w:val="Heading3"/>
      </w:pPr>
      <w:r>
        <w:t xml:space="preserve">5.2 Reliability Assessment</w:t>
      </w:r>
    </w:p>
    <w:p>
      <w:pPr>
        <w:pStyle w:val="FirstParagraph"/>
      </w:pPr>
      <w:r>
        <w:t xml:space="preserve">The reliability of this PCF analysis is primarily driven by the quality of the input data.</w:t>
      </w:r>
    </w:p>
    <w:p>
      <w:pPr>
        <w:numPr>
          <w:ilvl w:val="0"/>
          <w:numId w:val="1023"/>
        </w:numPr>
        <w:pStyle w:val="Compact"/>
      </w:pPr>
      <w:r>
        <w:rPr>
          <w:bCs/>
          <w:b/>
        </w:rPr>
        <w:t xml:space="preserve">High Reliability:</w:t>
      </w:r>
      <w:r>
        <w:t xml:space="preserve"> </w:t>
      </w:r>
      <w:r>
        <w:t xml:space="preserve">Primary data provided for BOM, energy intensity, renewable energy usage, product lifespan, energy consumption in use, and recyclability percentage.</w:t>
      </w:r>
    </w:p>
    <w:p>
      <w:pPr>
        <w:numPr>
          <w:ilvl w:val="0"/>
          <w:numId w:val="1023"/>
        </w:numPr>
        <w:pStyle w:val="Compact"/>
      </w:pPr>
      <w:r>
        <w:rPr>
          <w:bCs/>
          <w:b/>
        </w:rPr>
        <w:t xml:space="preserve">Medium Reliability:</w:t>
      </w:r>
      <w:r>
        <w:t xml:space="preserve"> </w:t>
      </w:r>
      <w:r>
        <w:t xml:space="preserve">Secondary data for emission factors (e.g., electricity grids, transport, EoL) from industry-standard databases (Ecoinvent/DEFRA equivalents). These represent averages and may not perfectly reflect specific supplier or regional conditions.</w:t>
      </w:r>
    </w:p>
    <w:p>
      <w:pPr>
        <w:numPr>
          <w:ilvl w:val="0"/>
          <w:numId w:val="1023"/>
        </w:numPr>
        <w:pStyle w:val="Compact"/>
      </w:pPr>
      <w:r>
        <w:rPr>
          <w:bCs/>
          <w:b/>
        </w:rPr>
        <w:t xml:space="preserve">Areas for Improvement:</w:t>
      </w:r>
      <w:r>
        <w:t xml:space="preserve"> </w:t>
      </w:r>
      <w:r>
        <w:t xml:space="preserve">Further primary data collection from upstream suppliers regarding their specific manufacturing processes and energy consumption would enhance the accuracy of Scope 3, Category 1 and 4. More granular data on the specific `Select Mode` of transport and `Delivery Type` for precise emission factors would improve Category 9.</w:t>
      </w:r>
    </w:p>
    <w:p>
      <w:pPr>
        <w:pStyle w:val="FirstParagraph"/>
      </w:pPr>
      <w:r>
        <w:t xml:space="preserve">The explicit mention of `Circular/Take-back Programs: rvdqmoumvh` suggests a commitment to circularity, which could lead to further avoided emissions if the take-back program effectively reintroduces materials into new production cycles with lower impact than virgin materials. Quantifying the precise impact of these programs would require detailed follow-up data.</w:t>
      </w:r>
    </w:p>
    <w:p>
      <w:r>
        <w:pict>
          <v:rect style="width:0;height:1.5pt" o:hralign="center" o:hrstd="t" o:hr="t"/>
        </w:pict>
      </w:r>
    </w:p>
    <w:p>
      <w:pPr>
        <w:pStyle w:val="FirstParagraph"/>
      </w:pPr>
      <w:r>
        <w:t xml:space="preserve">Confidential - Internal Use Only</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vqeuqyknfu</dc:title>
  <dc:creator/>
  <dc:description>High-detail Product Carbon Footprint (PCF) analysis for vqeuqyknfu, conducted by pfpuxggrtw for kvglznonsh, adhering to GHG Protocol and 2026 updates.</dc:description>
  <dc:language>en</dc:language>
  <cp:keywords/>
  <dcterms:created xsi:type="dcterms:W3CDTF">2026-05-30T21:11:21Z</dcterms:created>
  <dcterms:modified xsi:type="dcterms:W3CDTF">2026-05-30T21:11:21Z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