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vqesdmkgve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vqesdmkgve**</w:t>
      </w:r>
    </w:p>
    <w:p>
      <w:pPr>
        <w:pStyle w:val="BodyText"/>
      </w:pPr>
      <w:r>
        <w:t xml:space="preserve">**For: feifrsvudk**</w:t>
      </w:r>
    </w:p>
    <w:p>
      <w:pPr>
        <w:pStyle w:val="BodyText"/>
      </w:pPr>
      <w:r>
        <w:t xml:space="preserve">**Protocol Data (Accounting Standard): GHG Protocol**</w:t>
      </w:r>
    </w:p>
    <w:p>
      <w:pPr>
        <w:pStyle w:val="BodyText"/>
      </w:pPr>
      <w:r>
        <w:t xml:space="preserve">**Senior Sustainability Consultant: klmnnizoxq**</w:t>
      </w:r>
    </w:p>
    <w:p>
      <w:pPr>
        <w:pStyle w:val="BodyText"/>
      </w:pPr>
      <w:r>
        <w:t xml:space="preserve">This report is generated based on available data and industry standards. While efforts have been made to ensure accuracy and comprehensive coverage, the results are indicative and subject to the quality and completeness of the input data and chosen methodologies.</w:t>
      </w:r>
    </w:p>
    <w:bookmarkEnd w:id="20"/>
    <w:bookmarkStart w:id="21" w:name="X4a1f70446af9a73b265a9655875f6d8a767b6ff"/>
    <w:p>
      <w:pPr>
        <w:pStyle w:val="Heading1"/>
      </w:pPr>
      <w:r>
        <w:t xml:space="preserve">Product Carbon Footprint Analysis Report: vqesdmkgve</w:t>
      </w:r>
    </w:p>
    <w:p>
      <w:pPr>
        <w:pStyle w:val="FirstParagraph"/>
      </w:pPr>
      <w:r>
        <w:rPr>
          <w:bCs/>
          <w:b/>
        </w:rPr>
        <w:t xml:space="preserve">Generated Date:</w:t>
      </w:r>
      <w:r>
        <w:t xml:space="preserve"> </w:t>
      </w:r>
      <w:r>
        <w:t xml:space="preserve">June 1, 2026</w:t>
      </w:r>
    </w:p>
    <w:p>
      <w:pPr>
        <w:pStyle w:val="BodyText"/>
      </w:pPr>
      <w:r>
        <w:rPr>
          <w:bCs/>
          <w:b/>
        </w:rPr>
        <w:t xml:space="preserve">Company Name:</w:t>
      </w:r>
      <w:r>
        <w:t xml:space="preserve"> </w:t>
      </w:r>
      <w:r>
        <w:t xml:space="preserve">feifrsvudk</w:t>
      </w:r>
    </w:p>
    <w:p>
      <w:pPr>
        <w:pStyle w:val="BodyText"/>
      </w:pPr>
      <w:r>
        <w:rPr>
          <w:bCs/>
          <w:b/>
        </w:rPr>
        <w:t xml:space="preserve">Senior Sustainability Consultant:</w:t>
      </w:r>
      <w:r>
        <w:t xml:space="preserve"> </w:t>
      </w:r>
      <w:r>
        <w:t xml:space="preserve">klmnnizoxq</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vqesdmkgve, manufactured by feifrsvudk. The analysis adheres strictly to the GHG Protocol\'s accounting and reporting standards, including the recent 2026 Land Sector and Removals (LSR) update and the requirement for at least 95% Scope 3 coverage. The primary goal is to quantify the greenhouse gas (GHG) emissions across the entire lifecycle of vqesdmkgve, identify emission hotspots, and provide a reliable baseline for future sustainability initiatives. This PCF analysis considers material acquisition, manufacturing, transportation, use-phase, and end-of-life stages, offering a comprehensive view of the product\'s environmental impact.</w:t>
      </w:r>
    </w:p>
    <w:p>
      <w:r>
        <w:pict>
          <v:rect style="width:0;height:1.5pt" o:hralign="center" o:hrstd="t" o:hr="t"/>
        </w:pict>
      </w:r>
    </w:p>
    <w:bookmarkEnd w:id="22"/>
    <w:bookmarkStart w:id="28" w:name="define-scope"/>
    <w:p>
      <w:pPr>
        <w:pStyle w:val="Heading2"/>
      </w:pPr>
      <w:r>
        <w:t xml:space="preserve">1. Define Scope</w:t>
      </w:r>
    </w:p>
    <w:p>
      <w:pPr>
        <w:pStyle w:val="FirstParagraph"/>
      </w:pPr>
      <w:r>
        <w:t xml:space="preserve">The first step in any robust PCF analysis is clearly defining the scope of the study to ensure consistency and comparability.</w:t>
      </w:r>
    </w:p>
    <w:bookmarkStart w:id="23" w:name="functional-unit"/>
    <w:p>
      <w:pPr>
        <w:pStyle w:val="Heading3"/>
      </w:pPr>
      <w:r>
        <w:t xml:space="preserve">Functional Unit</w:t>
      </w:r>
    </w:p>
    <w:p>
      <w:pPr>
        <w:numPr>
          <w:ilvl w:val="0"/>
          <w:numId w:val="1001"/>
        </w:numPr>
        <w:pStyle w:val="Compact"/>
      </w:pPr>
      <w:r>
        <w:rPr>
          <w:bCs/>
          <w:b/>
        </w:rPr>
        <w:t xml:space="preserve">Functional Unit:</w:t>
      </w:r>
      <w:r>
        <w:t xml:space="preserve"> </w:t>
      </w:r>
      <w:r>
        <w:t xml:space="preserve">1.0 unit of vqesdmkgve</w:t>
      </w:r>
    </w:p>
    <w:p>
      <w:pPr>
        <w:numPr>
          <w:ilvl w:val="0"/>
          <w:numId w:val="1001"/>
        </w:numPr>
        <w:pStyle w:val="Compact"/>
      </w:pPr>
      <w:r>
        <w:t xml:space="preserve">This unit serves as the reference basis to which all input and output data are normalized, allowing for consistent comparison of the product\'s environmental performance.</w:t>
      </w:r>
    </w:p>
    <w:bookmarkEnd w:id="23"/>
    <w:bookmarkStart w:id="24" w:name="system-boundary"/>
    <w:p>
      <w:pPr>
        <w:pStyle w:val="Heading3"/>
      </w:pPr>
      <w:r>
        <w:t xml:space="preserve">System Boundary</w:t>
      </w:r>
    </w:p>
    <w:p>
      <w:pPr>
        <w:numPr>
          <w:ilvl w:val="0"/>
          <w:numId w:val="1002"/>
        </w:numPr>
        <w:pStyle w:val="Compact"/>
      </w:pPr>
      <w:r>
        <w:rPr>
          <w:bCs/>
          <w:b/>
        </w:rPr>
        <w:t xml:space="preserve">System Boundary:</w:t>
      </w:r>
      <w:r>
        <w:t xml:space="preserve"> </w:t>
      </w:r>
      <w:r>
        <w:t xml:space="preserve">Cradle-to-gate (factory_gate) with extended downstream analysis for Use Phase and End-of-Life.</w:t>
      </w:r>
    </w:p>
    <w:p>
      <w:pPr>
        <w:numPr>
          <w:ilvl w:val="0"/>
          <w:numId w:val="1002"/>
        </w:numPr>
        <w:pStyle w:val="Compact"/>
      </w:pPr>
      <w:r>
        <w:t xml:space="preserve">This includes emissions from raw material extraction, manufacturing processes, inbound and outbound logistics, the product\'s use phase, and its end-of-life treatment.</w:t>
      </w:r>
    </w:p>
    <w:bookmarkEnd w:id="24"/>
    <w:bookmarkStart w:id="25" w:name="geographic-scope"/>
    <w:p>
      <w:pPr>
        <w:pStyle w:val="Heading3"/>
      </w:pPr>
      <w:r>
        <w:t xml:space="preserve">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p>
      <w:pPr>
        <w:numPr>
          <w:ilvl w:val="0"/>
          <w:numId w:val="1003"/>
        </w:numPr>
        <w:pStyle w:val="Compact"/>
      </w:pPr>
      <w:r>
        <w:t xml:space="preserve">This geographical definition is critical for selecting appropriate region-specific emission factors for energy grids, transportation, and material production.</w:t>
      </w:r>
    </w:p>
    <w:bookmarkEnd w:id="25"/>
    <w:bookmarkStart w:id="26" w:name="accounting-standard"/>
    <w:p>
      <w:pPr>
        <w:pStyle w:val="Heading3"/>
      </w:pPr>
      <w:r>
        <w:t xml:space="preserve">Accounting Standard</w:t>
      </w:r>
    </w:p>
    <w:p>
      <w:pPr>
        <w:numPr>
          <w:ilvl w:val="0"/>
          <w:numId w:val="1004"/>
        </w:numPr>
        <w:pStyle w:val="Compact"/>
      </w:pPr>
      <w:r>
        <w:rPr>
          <w:bCs/>
          <w:b/>
        </w:rPr>
        <w:t xml:space="preserve">Accounting Standard:</w:t>
      </w:r>
      <w:r>
        <w:t xml:space="preserve"> </w:t>
      </w:r>
      <w:r>
        <w:t xml:space="preserve">GHG Protocol Product Standard</w:t>
      </w:r>
    </w:p>
    <w:p>
      <w:pPr>
        <w:numPr>
          <w:ilvl w:val="0"/>
          <w:numId w:val="1004"/>
        </w:numPr>
        <w:pStyle w:val="Compact"/>
      </w:pPr>
      <w:r>
        <w:t xml:space="preserve">This report follows the Greenhouse Gas Protocol Product Life Cycle Accounting and Reporting Standard, which provides comprehensive guidance for quantifying and reporting GHG emissions associated with the entire lifecycle of a product. Emissions are categorized into Scope 1, Scope 2, and Scope 3 as defined by the GHG Protocol. Scope 1 emissions are direct emissions from sources owned or controlled by the company. Scope 2 emissions are indirect emissions from the generation of purchased electricity, steam, heating, or cooling. Scope 3 emissions are all other indirect emissions that occur in the value chain of the reporting company, both upstream and downstream.</w:t>
      </w:r>
    </w:p>
    <w:bookmarkEnd w:id="26"/>
    <w:bookmarkStart w:id="27" w:name="allocation"/>
    <w:p>
      <w:pPr>
        <w:pStyle w:val="Heading3"/>
      </w:pPr>
      <w:r>
        <w:t xml:space="preserve">Allocation</w:t>
      </w:r>
    </w:p>
    <w:p>
      <w:pPr>
        <w:numPr>
          <w:ilvl w:val="0"/>
          <w:numId w:val="1005"/>
        </w:numPr>
        <w:pStyle w:val="Compact"/>
      </w:pPr>
      <w:r>
        <w:t xml:space="preserve">For multi-output processes, emissions are allocated to vqesdmkgve using a mass-based approach where appropriate, or economic allocation if specific co-products with significant economic value are identified. Given the focus on a single product, direct attribution of process emissions is prioritized.</w:t>
      </w:r>
    </w:p>
    <w:p>
      <w:r>
        <w:pict>
          <v:rect style="width:0;height:1.5pt" o:hralign="center" o:hrstd="t" o:hr="t"/>
        </w:pict>
      </w:r>
    </w:p>
    <w:bookmarkEnd w:id="27"/>
    <w:bookmarkEnd w:id="28"/>
    <w:bookmarkStart w:id="35" w:name="Xab466bccfc4119fbef3c0977783df0e17248f34"/>
    <w:p>
      <w:pPr>
        <w:pStyle w:val="Heading2"/>
      </w:pPr>
      <w:r>
        <w:t xml:space="preserve">2. Map Lifecycle (Life Cycle Inventory Stages) &amp; 3. Collect Data (Primary/Secondary Data Points)</w:t>
      </w:r>
    </w:p>
    <w:p>
      <w:pPr>
        <w:pStyle w:val="FirstParagraph"/>
      </w:pPr>
      <w:r>
        <w:t xml:space="preserve">The lifecycle mapping identifies all stages of the product from raw material acquisition to end-of-life. Data collection involves gathering both primary data specific to feifrsvudk\'s operations and secondary data from reputable databases for generic processes and emission factors.</w:t>
      </w:r>
    </w:p>
    <w:bookmarkStart w:id="29" w:name="detailed-bill-of-materials-bom-irytyzdy"/>
    <w:p>
      <w:pPr>
        <w:pStyle w:val="Heading3"/>
      </w:pPr>
      <w:r>
        <w:t xml:space="preserve">Detailed Bill of Materials (BOM): irytyzdy</w:t>
      </w:r>
    </w:p>
    <w:p>
      <w:pPr>
        <w:pStyle w:val="FirstParagraph"/>
      </w:pPr>
      <w:r>
        <w:t xml:space="preserve">The following detailed Bill of Materials (BOM) was used for high-accuracy material impact calculations. The \'Total Carbon\' values represent the pre-calculated emissions for each material, incorporating the specified quantity and emission factor. These values directly contribute to Scope 3 (Upstream) emissions.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Sheet</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w:t>
            </w:r>
          </w:p>
        </w:tc>
      </w:tr>
      <w:tr>
        <w:tc>
          <w:tcPr/>
          <w:p>
            <w:pPr>
              <w:pStyle w:val="Compact"/>
              <w:jc w:val="left"/>
            </w:pPr>
            <w:r>
              <w:t xml:space="preserve">M002</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w:t>
            </w:r>
          </w:p>
        </w:tc>
      </w:tr>
      <w:tr>
        <w:tc>
          <w:tcPr/>
          <w:p>
            <w:pPr>
              <w:pStyle w:val="Compact"/>
              <w:jc w:val="left"/>
            </w:pPr>
            <w:r>
              <w:t xml:space="preserve">M003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Refining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w:t>
            </w:r>
          </w:p>
        </w:tc>
      </w:tr>
      <w:tr>
        <w:tc>
          <w:tcPr/>
          <w:p>
            <w:pPr>
              <w:pStyle w:val="Compact"/>
              <w:jc w:val="left"/>
            </w:pPr>
            <w:r>
              <w:t xml:space="preserve">M004</w:t>
            </w:r>
          </w:p>
        </w:tc>
        <w:tc>
          <w:tcPr/>
          <w:p>
            <w:pPr>
              <w:pStyle w:val="Compact"/>
              <w:jc w:val="left"/>
            </w:pPr>
            <w:r>
              <w:t xml:space="preserve">Silicon Chip</w:t>
            </w:r>
          </w:p>
        </w:tc>
        <w:tc>
          <w:tcPr/>
          <w:p>
            <w:pPr>
              <w:pStyle w:val="Compact"/>
              <w:jc w:val="left"/>
            </w:pPr>
            <w:r>
              <w:t xml:space="preserve">Electronics</w:t>
            </w:r>
          </w:p>
        </w:tc>
        <w:tc>
          <w:tcPr/>
          <w:p>
            <w:pPr>
              <w:pStyle w:val="Compact"/>
              <w:jc w:val="left"/>
            </w:pPr>
            <w:r>
              <w:t xml:space="preserve">Semiconductor Fab</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w:t>
            </w:r>
          </w:p>
        </w:tc>
        <w:tc>
          <w:tcPr/>
          <w:p>
            <w:pPr>
              <w:pStyle w:val="Compact"/>
              <w:jc w:val="left"/>
            </w:pPr>
            <w:r>
              <w:t xml:space="preserve">2.5</w:t>
            </w:r>
          </w:p>
        </w:tc>
      </w:tr>
      <w:tr>
        <w:tc>
          <w:tcPr/>
          <w:p>
            <w:pPr>
              <w:pStyle w:val="Compact"/>
              <w:jc w:val="left"/>
            </w:pPr>
            <w:r>
              <w:t xml:space="preserve">M005</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Pulp &amp; Paper</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w:t>
            </w:r>
          </w:p>
        </w:tc>
      </w:tr>
    </w:tbl>
    <w:bookmarkEnd w:id="29"/>
    <w:bookmarkStart w:id="30" w:name="production-phase-energy-inputs"/>
    <w:p>
      <w:pPr>
        <w:pStyle w:val="Heading3"/>
      </w:pPr>
      <w:r>
        <w:t xml:space="preserve">Production Phase Energy Inputs</w:t>
      </w:r>
    </w:p>
    <w:p>
      <w:pPr>
        <w:numPr>
          <w:ilvl w:val="0"/>
          <w:numId w:val="1006"/>
        </w:numPr>
        <w:pStyle w:val="Compact"/>
      </w:pPr>
      <w:r>
        <w:rPr>
          <w:bCs/>
          <w:b/>
        </w:rPr>
        <w:t xml:space="preserve">Energy Intensity (kWh/unit):</w:t>
      </w:r>
      <w:r>
        <w:t xml:space="preserve"> </w:t>
      </w:r>
      <w:r>
        <w:t xml:space="preserve">wvovmvvnwt kWh/unit</w:t>
      </w:r>
    </w:p>
    <w:p>
      <w:pPr>
        <w:numPr>
          <w:ilvl w:val="0"/>
          <w:numId w:val="1006"/>
        </w:numPr>
        <w:pStyle w:val="Compact"/>
      </w:pPr>
      <w:r>
        <w:rPr>
          <w:bCs/>
          <w:b/>
        </w:rPr>
        <w:t xml:space="preserve">Renewable Energy Usage:</w:t>
      </w:r>
      <w:r>
        <w:t xml:space="preserve"> </w:t>
      </w:r>
      <w:r>
        <w:t xml:space="preserve">hnozfglefz %</w:t>
      </w:r>
    </w:p>
    <w:p>
      <w:pPr>
        <w:numPr>
          <w:ilvl w:val="0"/>
          <w:numId w:val="1006"/>
        </w:numPr>
        <w:pStyle w:val="Compact"/>
      </w:pPr>
      <w:r>
        <w:t xml:space="preserve">Energy consumption during the manufacturing of vqesdmkgve. This data is crucial for calculating Scope 2 emissions (purchased electricity). If direct fuel consumption for on-site processes were present, it would fall under Scope 1.</w:t>
      </w:r>
    </w:p>
    <w:bookmarkEnd w:id="30"/>
    <w:bookmarkStart w:id="31" w:name="transport-logistics-data"/>
    <w:p>
      <w:pPr>
        <w:pStyle w:val="Heading3"/>
      </w:pPr>
      <w:r>
        <w:t xml:space="preserve">Transport Logistics Data</w:t>
      </w:r>
    </w:p>
    <w:p>
      <w:pPr>
        <w:numPr>
          <w:ilvl w:val="0"/>
          <w:numId w:val="1007"/>
        </w:numPr>
        <w:pStyle w:val="Compact"/>
      </w:pPr>
      <w:r>
        <w:rPr>
          <w:bCs/>
          <w:b/>
        </w:rPr>
        <w:t xml:space="preserve">Transport Mode:</w:t>
      </w:r>
      <w:r>
        <w:t xml:space="preserve"> </w:t>
      </w:r>
      <w:r>
        <w:t xml:space="preserve">Select Mode (assumed to be Road freight - HGV for supply chain, and Small van for last-mile delivery)</w:t>
      </w:r>
    </w:p>
    <w:p>
      <w:pPr>
        <w:numPr>
          <w:ilvl w:val="0"/>
          <w:numId w:val="1007"/>
        </w:numPr>
        <w:pStyle w:val="Compact"/>
      </w:pPr>
      <w:r>
        <w:rPr>
          <w:bCs/>
          <w:b/>
        </w:rPr>
        <w:t xml:space="preserve">Transport Distance:</w:t>
      </w:r>
      <w:r>
        <w:t xml:space="preserve"> </w:t>
      </w:r>
      <w:r>
        <w:t xml:space="preserve">lkpdivnqkl km</w:t>
      </w:r>
    </w:p>
    <w:p>
      <w:pPr>
        <w:numPr>
          <w:ilvl w:val="0"/>
          <w:numId w:val="1007"/>
        </w:numPr>
        <w:pStyle w:val="Compact"/>
      </w:pPr>
      <w:r>
        <w:rPr>
          <w:bCs/>
          <w:b/>
        </w:rPr>
        <w:t xml:space="preserve">Last-Mile Delivery Channel:</w:t>
      </w:r>
      <w:r>
        <w:t xml:space="preserve"> </w:t>
      </w:r>
      <w:r>
        <w:t xml:space="preserve">Delivery Type (assumed to be Small van delivery)</w:t>
      </w:r>
    </w:p>
    <w:p>
      <w:pPr>
        <w:numPr>
          <w:ilvl w:val="0"/>
          <w:numId w:val="1007"/>
        </w:numPr>
        <w:pStyle w:val="Compact"/>
      </w:pPr>
      <w:r>
        <w:t xml:space="preserve">Transportation emissions account for the movement of raw materials to the factory (upstream) and the finished product to the customer (downstream), categorized under Scope 3.</w:t>
      </w:r>
    </w:p>
    <w:bookmarkEnd w:id="31"/>
    <w:bookmarkStart w:id="32" w:name="use-phase-data"/>
    <w:p>
      <w:pPr>
        <w:pStyle w:val="Heading3"/>
      </w:pPr>
      <w:r>
        <w:t xml:space="preserve">Use Phase Data</w:t>
      </w:r>
    </w:p>
    <w:p>
      <w:pPr>
        <w:numPr>
          <w:ilvl w:val="0"/>
          <w:numId w:val="1008"/>
        </w:numPr>
        <w:pStyle w:val="Compact"/>
      </w:pPr>
      <w:r>
        <w:rPr>
          <w:bCs/>
          <w:b/>
        </w:rPr>
        <w:t xml:space="preserve">Product Lifespan:</w:t>
      </w:r>
      <w:r>
        <w:t xml:space="preserve"> </w:t>
      </w:r>
      <w:r>
        <w:t xml:space="preserve">ljuxevnqdi years</w:t>
      </w:r>
    </w:p>
    <w:p>
      <w:pPr>
        <w:numPr>
          <w:ilvl w:val="0"/>
          <w:numId w:val="1008"/>
        </w:numPr>
        <w:pStyle w:val="Compact"/>
      </w:pPr>
      <w:r>
        <w:rPr>
          <w:bCs/>
          <w:b/>
        </w:rPr>
        <w:t xml:space="preserve">Energy Consumption in Use:</w:t>
      </w:r>
      <w:r>
        <w:t xml:space="preserve"> </w:t>
      </w:r>
      <w:r>
        <w:t xml:space="preserve">fgimqvdgxd kWh/year</w:t>
      </w:r>
    </w:p>
    <w:p>
      <w:pPr>
        <w:numPr>
          <w:ilvl w:val="0"/>
          <w:numId w:val="1008"/>
        </w:numPr>
        <w:pStyle w:val="Compact"/>
      </w:pPr>
      <w:r>
        <w:t xml:space="preserve">The use phase emissions are part of Scope 3 (Downstream) and account for the energy consumed by the product during its operational lifetime.</w:t>
      </w:r>
    </w:p>
    <w:bookmarkEnd w:id="32"/>
    <w:bookmarkStart w:id="33" w:name="end-of-life-eol-scenarios"/>
    <w:p>
      <w:pPr>
        <w:pStyle w:val="Heading3"/>
      </w:pPr>
      <w:r>
        <w:t xml:space="preserve">End-of-Life (EoL) Scenarios</w:t>
      </w:r>
    </w:p>
    <w:p>
      <w:pPr>
        <w:numPr>
          <w:ilvl w:val="0"/>
          <w:numId w:val="1009"/>
        </w:numPr>
        <w:pStyle w:val="Compact"/>
      </w:pPr>
      <w:r>
        <w:rPr>
          <w:bCs/>
          <w:b/>
        </w:rPr>
        <w:t xml:space="preserve">Recyclability Percentage:</w:t>
      </w:r>
      <w:r>
        <w:t xml:space="preserve"> </w:t>
      </w:r>
      <w:r>
        <w:t xml:space="preserve">zewfepnjuo %</w:t>
      </w:r>
    </w:p>
    <w:p>
      <w:pPr>
        <w:numPr>
          <w:ilvl w:val="0"/>
          <w:numId w:val="1009"/>
        </w:numPr>
        <w:pStyle w:val="Compact"/>
      </w:pPr>
      <w:r>
        <w:rPr>
          <w:bCs/>
          <w:b/>
        </w:rPr>
        <w:t xml:space="preserve">Circular/Take-back Programs:</w:t>
      </w:r>
      <w:r>
        <w:t xml:space="preserve"> </w:t>
      </w:r>
      <w:r>
        <w:t xml:space="preserve">imjxisfyhj</w:t>
      </w:r>
    </w:p>
    <w:p>
      <w:pPr>
        <w:numPr>
          <w:ilvl w:val="0"/>
          <w:numId w:val="1009"/>
        </w:numPr>
        <w:pStyle w:val="Compact"/>
      </w:pPr>
      <w:r>
        <w:t xml:space="preserve">EoL emissions/credits are also part of Scope 3 (Downstream) and consider the fate of the product after its useful life, including recycling, disposal, and potential benefits from circular economy initiatives.</w:t>
      </w:r>
    </w:p>
    <w:bookmarkEnd w:id="33"/>
    <w:bookmarkStart w:id="34" w:name="emission-factor-sources"/>
    <w:p>
      <w:pPr>
        <w:pStyle w:val="Heading3"/>
      </w:pPr>
      <w:r>
        <w:t xml:space="preserve">Emission Factor Sources</w:t>
      </w:r>
    </w:p>
    <w:p>
      <w:pPr>
        <w:pStyle w:val="FirstParagraph"/>
      </w:pPr>
      <w:r>
        <w:t xml:space="preserve">Industry-standard emission factors are used for calculations, primarily sourced from:</w:t>
      </w:r>
    </w:p>
    <w:p>
      <w:pPr>
        <w:numPr>
          <w:ilvl w:val="0"/>
          <w:numId w:val="1010"/>
        </w:numPr>
        <w:pStyle w:val="Compact"/>
      </w:pPr>
      <w:r>
        <w:t xml:space="preserve">**Ecoinvent Database:** For material production, energy mixes (e.g., China grid mix), and certain manufacturing processes. Ecoinvent provides comprehensive life cycle inventory datasets for various global regions, with recent updates reflecting 2021-2022 energy mixes.</w:t>
      </w:r>
    </w:p>
    <w:p>
      <w:pPr>
        <w:numPr>
          <w:ilvl w:val="0"/>
          <w:numId w:val="1010"/>
        </w:numPr>
        <w:pStyle w:val="Compact"/>
      </w:pPr>
      <w:r>
        <w:t xml:space="preserve">**DEFRA (Department for Environment, Food &amp; Rural Affairs) UK Government Conversion Factors:** For transportation (road freight, delivery vehicles) and other relevant activities. DEFRA factors are widely used for GHG reporting and are updated regularly.</w:t>
      </w:r>
    </w:p>
    <w:p>
      <w:r>
        <w:pict>
          <v:rect style="width:0;height:1.5pt" o:hralign="center" o:hrstd="t" o:hr="t"/>
        </w:pict>
      </w:r>
    </w:p>
    <w:bookmarkEnd w:id="34"/>
    <w:bookmarkEnd w:id="35"/>
    <w:bookmarkStart w:id="46" w:name="Xb404f6bea4a0013006ec7a9103609d9ea6643c1"/>
    <w:p>
      <w:pPr>
        <w:pStyle w:val="Heading2"/>
      </w:pPr>
      <w:r>
        <w:t xml:space="preserve">4. Calculate Emissions (Activity * Emission Factor = CO2e)</w:t>
      </w:r>
    </w:p>
    <w:p>
      <w:pPr>
        <w:pStyle w:val="FirstParagraph"/>
      </w:pPr>
      <w:r>
        <w:t xml:space="preserve">Emissions are calculated for each lifecycle stage and categorized according to the GHG Protocol\'s Scope 1, 2, and 3 definitions. For the purpose of this report, numerical values for generic parameters (`lkpdivnqkl`, `hnozfglefz`, `wvovmvvnwt`, `ljuxevnqdi`, `fgimqvdgxd`, `zewfepnjuo`) are assumed for illustrative calculation, as specific numbers were not provided in the prompt, only variable names. The report explicitly states these assumptions.</w:t>
      </w:r>
    </w:p>
    <w:bookmarkStart w:id="36" w:name="X543f1e3ebbc3c888b52af2de4a351ee2db0bf0c"/>
    <w:p>
      <w:pPr>
        <w:pStyle w:val="Heading3"/>
      </w:pPr>
      <w:r>
        <w:t xml:space="preserve">Assumptions for Illustrative Calculations:</w:t>
      </w:r>
    </w:p>
    <w:p>
      <w:pPr>
        <w:numPr>
          <w:ilvl w:val="0"/>
          <w:numId w:val="1011"/>
        </w:numPr>
        <w:pStyle w:val="Compact"/>
      </w:pPr>
      <w:r>
        <w:rPr>
          <w:bCs/>
          <w:b/>
        </w:rPr>
        <w:t xml:space="preserve">Transport Distance (`lkpdivnqkl`):</w:t>
      </w:r>
      <w:r>
        <w:t xml:space="preserve"> </w:t>
      </w:r>
      <w:r>
        <w:t xml:space="preserve">1500 km</w:t>
      </w:r>
    </w:p>
    <w:p>
      <w:pPr>
        <w:numPr>
          <w:ilvl w:val="0"/>
          <w:numId w:val="1011"/>
        </w:numPr>
        <w:pStyle w:val="Compact"/>
      </w:pPr>
      <w:r>
        <w:rPr>
          <w:bCs/>
          <w:b/>
        </w:rPr>
        <w:t xml:space="preserve">Renewable Energy Usage (`hnozfglefz`):</w:t>
      </w:r>
      <w:r>
        <w:t xml:space="preserve"> </w:t>
      </w:r>
      <w:r>
        <w:t xml:space="preserve">50%</w:t>
      </w:r>
    </w:p>
    <w:p>
      <w:pPr>
        <w:numPr>
          <w:ilvl w:val="0"/>
          <w:numId w:val="1011"/>
        </w:numPr>
        <w:pStyle w:val="Compact"/>
      </w:pPr>
      <w:r>
        <w:rPr>
          <w:bCs/>
          <w:b/>
        </w:rPr>
        <w:t xml:space="preserve">Energy Intensity (`wvovmvvnwt`):</w:t>
      </w:r>
      <w:r>
        <w:t xml:space="preserve"> </w:t>
      </w:r>
      <w:r>
        <w:t xml:space="preserve">10 kWh/unit</w:t>
      </w:r>
    </w:p>
    <w:p>
      <w:pPr>
        <w:numPr>
          <w:ilvl w:val="0"/>
          <w:numId w:val="1011"/>
        </w:numPr>
        <w:pStyle w:val="Compact"/>
      </w:pPr>
      <w:r>
        <w:rPr>
          <w:bCs/>
          <w:b/>
        </w:rPr>
        <w:t xml:space="preserve">Product Lifespan (`ljuxevnqdi`):</w:t>
      </w:r>
      <w:r>
        <w:t xml:space="preserve"> </w:t>
      </w:r>
      <w:r>
        <w:t xml:space="preserve">5 years</w:t>
      </w:r>
    </w:p>
    <w:p>
      <w:pPr>
        <w:numPr>
          <w:ilvl w:val="0"/>
          <w:numId w:val="1011"/>
        </w:numPr>
        <w:pStyle w:val="Compact"/>
      </w:pPr>
      <w:r>
        <w:rPr>
          <w:bCs/>
          <w:b/>
        </w:rPr>
        <w:t xml:space="preserve">Energy Consumption in Use (`fgimqvdgxd`):</w:t>
      </w:r>
      <w:r>
        <w:t xml:space="preserve"> </w:t>
      </w:r>
      <w:r>
        <w:t xml:space="preserve">20 kWh/year</w:t>
      </w:r>
    </w:p>
    <w:p>
      <w:pPr>
        <w:numPr>
          <w:ilvl w:val="0"/>
          <w:numId w:val="1011"/>
        </w:numPr>
        <w:pStyle w:val="Compact"/>
      </w:pPr>
      <w:r>
        <w:rPr>
          <w:bCs/>
          <w:b/>
        </w:rPr>
        <w:t xml:space="preserve">Recyclability Percentage (`zewfepnjuo`):</w:t>
      </w:r>
      <w:r>
        <w:t xml:space="preserve"> </w:t>
      </w:r>
      <w:r>
        <w:t xml:space="preserve">70%</w:t>
      </w:r>
    </w:p>
    <w:p>
      <w:pPr>
        <w:numPr>
          <w:ilvl w:val="0"/>
          <w:numId w:val="1011"/>
        </w:numPr>
        <w:pStyle w:val="Compact"/>
      </w:pPr>
      <w:r>
        <w:rPr>
          <w:bCs/>
          <w:b/>
        </w:rPr>
        <w:t xml:space="preserve">China Grid Electricity Emission Factor:</w:t>
      </w:r>
      <w:r>
        <w:t xml:space="preserve"> </w:t>
      </w:r>
      <w:r>
        <w:t xml:space="preserve">0.6 kg CO2e/kWh (based on Ecoinvent data for China grid mix, adjusted for renewables)</w:t>
      </w:r>
    </w:p>
    <w:p>
      <w:pPr>
        <w:numPr>
          <w:ilvl w:val="0"/>
          <w:numId w:val="1011"/>
        </w:numPr>
        <w:pStyle w:val="Compact"/>
      </w:pPr>
      <w:r>
        <w:rPr>
          <w:bCs/>
          <w:b/>
        </w:rPr>
        <w:t xml:space="preserve">Road Freight (HGV, average laden) Emission Factor:</w:t>
      </w:r>
      <w:r>
        <w:t xml:space="preserve"> </w:t>
      </w:r>
      <w:r>
        <w:t xml:space="preserve">0.1 kg CO2e/tkm (based on DEFRA)</w:t>
      </w:r>
    </w:p>
    <w:p>
      <w:pPr>
        <w:numPr>
          <w:ilvl w:val="0"/>
          <w:numId w:val="1011"/>
        </w:numPr>
        <w:pStyle w:val="Compact"/>
      </w:pPr>
      <w:r>
        <w:rPr>
          <w:bCs/>
          <w:b/>
        </w:rPr>
        <w:t xml:space="preserve">Small Van Delivery (last-mile) Emission Factor:</w:t>
      </w:r>
      <w:r>
        <w:t xml:space="preserve"> </w:t>
      </w:r>
      <w:r>
        <w:t xml:space="preserve">0.25 kg CO2e/km (based on DEFRA Class III vans)</w:t>
      </w:r>
    </w:p>
    <w:p>
      <w:pPr>
        <w:numPr>
          <w:ilvl w:val="0"/>
          <w:numId w:val="1011"/>
        </w:numPr>
        <w:pStyle w:val="Compact"/>
      </w:pPr>
      <w:r>
        <w:rPr>
          <w:bCs/>
          <w:b/>
        </w:rPr>
        <w:t xml:space="preserve">Product Mass (for transport calculations):</w:t>
      </w:r>
      <w:r>
        <w:t xml:space="preserve"> </w:t>
      </w:r>
      <w:r>
        <w:t xml:space="preserve">Sum of material quantities from BOM = 0.5 + 0.3 + 0.1 + 0.05 + 0.2 = 1.15 kg</w:t>
      </w:r>
    </w:p>
    <w:p>
      <w:pPr>
        <w:numPr>
          <w:ilvl w:val="0"/>
          <w:numId w:val="1011"/>
        </w:numPr>
        <w:pStyle w:val="Compact"/>
      </w:pPr>
      <w:r>
        <w:rPr>
          <w:bCs/>
          <w:b/>
        </w:rPr>
        <w:t xml:space="preserve">End-of-Life Recycling Credit Factor:</w:t>
      </w:r>
      <w:r>
        <w:t xml:space="preserve"> </w:t>
      </w:r>
      <w:r>
        <w:t xml:space="preserve">-1.5 kg CO2e/kg for recycled content (illustrative Ecoinvent-based credit for typical metals/plastics)</w:t>
      </w:r>
    </w:p>
    <w:p>
      <w:pPr>
        <w:numPr>
          <w:ilvl w:val="0"/>
          <w:numId w:val="1011"/>
        </w:numPr>
        <w:pStyle w:val="Compact"/>
      </w:pPr>
      <w:r>
        <w:rPr>
          <w:bCs/>
          <w:b/>
        </w:rPr>
        <w:t xml:space="preserve">End-of-Life Disposal (Landfill/Incineration) Factor:</w:t>
      </w:r>
      <w:r>
        <w:t xml:space="preserve"> </w:t>
      </w:r>
      <w:r>
        <w:t xml:space="preserve">0.1 kg CO2e/kg (illustrative)</w:t>
      </w:r>
    </w:p>
    <w:bookmarkEnd w:id="36"/>
    <w:bookmarkStart w:id="37" w:name="total-product-mass-for-transport"/>
    <w:p>
      <w:pPr>
        <w:pStyle w:val="Heading3"/>
      </w:pPr>
      <w:r>
        <w:t xml:space="preserve">Total Product Mass (for transport)</w:t>
      </w:r>
    </w:p>
    <w:p>
      <w:pPr>
        <w:pStyle w:val="FirstParagraph"/>
      </w:pPr>
      <w:r>
        <w:t xml:space="preserve">Total mass of vqesdmkgve = 1.15 kg</w:t>
      </w:r>
    </w:p>
    <w:bookmarkEnd w:id="37"/>
    <w:bookmarkStart w:id="38" w:name="scope-1-emissions-direct-emissions"/>
    <w:p>
      <w:pPr>
        <w:pStyle w:val="Heading3"/>
      </w:pPr>
      <w:r>
        <w:t xml:space="preserve">Scope 1 Emissions (Direct Emissions)</w:t>
      </w:r>
    </w:p>
    <w:p>
      <w:pPr>
        <w:pStyle w:val="FirstParagraph"/>
      </w:pPr>
      <w:r>
        <w:t xml:space="preserve">For a "factory_gate" system boundary focusing on product manufacturing, direct emissions (Scope 1) would typically include on-site fuel combustion for manufacturing processes or owned vehicles if the factory explicitly controlled them. As no direct combustion activities or owned fleet operations are specified for feifrsvudk in the provided parameters (e.g., "Process" in BOM does not include on-site fuel combustion data), it is assumed to be negligible or covered by upstream Scope 3 if outsourced. If there were on-site combustion for heat or power, these would be accounted for here. For this analysis, assuming "factory_gate" implies production activities whose direct emissions are covered either by Scope 2 (purchased electricity) or upstream Scope 3 (if processes are outsourced or material production includes direct emissions already accounted in BOM \'Total Carbon\').</w:t>
      </w:r>
    </w:p>
    <w:p>
      <w:pPr>
        <w:pStyle w:val="BodyText"/>
      </w:pPr>
      <w:r>
        <w:rPr>
          <w:bCs/>
          <w:b/>
        </w:rPr>
        <w:t xml:space="preserve">Total Scope 1 Emissions: 0.0 kg CO2e (Assumed negligible/covered by other scopes)</w:t>
      </w:r>
    </w:p>
    <w:bookmarkEnd w:id="38"/>
    <w:bookmarkStart w:id="39" w:name="scope-2-emissions-purchased-electricity"/>
    <w:p>
      <w:pPr>
        <w:pStyle w:val="Heading3"/>
      </w:pPr>
      <w:r>
        <w:t xml:space="preserve">Scope 2 Emissions (Purchased Electricity)</w:t>
      </w:r>
    </w:p>
    <w:p>
      <w:pPr>
        <w:pStyle w:val="FirstParagraph"/>
      </w:pPr>
      <w:r>
        <w:t xml:space="preserve">Emissions from purchased electricity for the manufacturing process.</w:t>
      </w:r>
    </w:p>
    <w:p>
      <w:pPr>
        <w:numPr>
          <w:ilvl w:val="0"/>
          <w:numId w:val="1012"/>
        </w:numPr>
        <w:pStyle w:val="Compact"/>
      </w:pPr>
      <w:r>
        <w:t xml:space="preserve">Energy Consumption: wvovmvvnwt kWh/unit (Assumed 10 kWh/unit)</w:t>
      </w:r>
    </w:p>
    <w:p>
      <w:pPr>
        <w:numPr>
          <w:ilvl w:val="0"/>
          <w:numId w:val="1012"/>
        </w:numPr>
        <w:pStyle w:val="Compact"/>
      </w:pPr>
      <w:r>
        <w:t xml:space="preserve">Renewable Energy Usage: hnozfglefz % (Assumed 50%)</w:t>
      </w:r>
    </w:p>
    <w:p>
      <w:pPr>
        <w:numPr>
          <w:ilvl w:val="0"/>
          <w:numId w:val="1012"/>
        </w:numPr>
        <w:pStyle w:val="Compact"/>
      </w:pPr>
      <w:r>
        <w:t xml:space="preserve">Effective Grid Electricity Consumption = wvovmvvnwt * (1 - hnozfglefz/100) = 10 kWh/unit * (1 - 50/100) = 5 kWh/unit</w:t>
      </w:r>
    </w:p>
    <w:p>
      <w:pPr>
        <w:numPr>
          <w:ilvl w:val="0"/>
          <w:numId w:val="1012"/>
        </w:numPr>
        <w:pStyle w:val="Compact"/>
      </w:pPr>
      <w:r>
        <w:t xml:space="preserve">China Grid Electricity Emission Factor: 0.6 kg CO2e/kWh</w:t>
      </w:r>
    </w:p>
    <w:p>
      <w:pPr>
        <w:numPr>
          <w:ilvl w:val="0"/>
          <w:numId w:val="1012"/>
        </w:numPr>
        <w:pStyle w:val="Compact"/>
      </w:pPr>
      <w:r>
        <w:rPr>
          <w:bCs/>
          <w:b/>
        </w:rPr>
        <w:t xml:space="preserve">Scope 2 Emissions = 5 kWh/unit * 0.6 kg CO2e/kWh = 3.0 kg CO2e</w:t>
      </w:r>
    </w:p>
    <w:bookmarkEnd w:id="39"/>
    <w:bookmarkStart w:id="42" w:name="scope-3-emissions-value-chain"/>
    <w:p>
      <w:pPr>
        <w:pStyle w:val="Heading3"/>
      </w:pPr>
      <w:r>
        <w:t xml:space="preserve">Scope 3 Emissions (Value Chain)</w:t>
      </w:r>
    </w:p>
    <w:p>
      <w:pPr>
        <w:pStyle w:val="FirstParagraph"/>
      </w:pPr>
      <w:r>
        <w:t xml:space="preserve">Scope 3 emissions comprise a significant portion of a product\'s footprint and are categorized as upstream and downstream. The GHG Protocol mandates at least 95% coverage for Scope 3 reporting as per 2026 requirements, indicating a need for comprehensive data collection and calculation across all relevant categories.</w:t>
      </w:r>
    </w:p>
    <w:bookmarkStart w:id="40" w:name="upstream-scope-3-emissions"/>
    <w:p>
      <w:pPr>
        <w:pStyle w:val="Heading4"/>
      </w:pPr>
      <w:r>
        <w:t xml:space="preserve">Upstream Scope 3 Emissions</w:t>
      </w:r>
    </w:p>
    <w:p>
      <w:pPr>
        <w:numPr>
          <w:ilvl w:val="0"/>
          <w:numId w:val="1013"/>
        </w:numPr>
        <w:pStyle w:val="Compact"/>
      </w:pPr>
      <w:r>
        <w:rPr>
          <w:bCs/>
          <w:b/>
        </w:rPr>
        <w:t xml:space="preserve">Purchased Goods and Services (Materials):</w:t>
      </w:r>
    </w:p>
    <w:p>
      <w:pPr>
        <w:numPr>
          <w:ilvl w:val="1"/>
          <w:numId w:val="1014"/>
        </w:numPr>
        <w:pStyle w:val="Compact"/>
      </w:pPr>
      <w:r>
        <w:t xml:space="preserve">Sum of \'Total Carbon\' from BOM (irytyzdy): 5.0 + 0.9 + 0.4 + 2.5 + 0.3 = 9.1 kg CO2e</w:t>
      </w:r>
    </w:p>
    <w:p>
      <w:pPr>
        <w:numPr>
          <w:ilvl w:val="0"/>
          <w:numId w:val="1000"/>
        </w:numPr>
        <w:pStyle w:val="Compact"/>
      </w:pPr>
      <w:r>
        <w:rPr>
          <w:bCs/>
          <w:b/>
        </w:rPr>
        <w:t xml:space="preserve">Total Upstream Scope 3 (Materials) = 9.1 kg CO2e</w:t>
      </w:r>
    </w:p>
    <w:p>
      <w:pPr>
        <w:numPr>
          <w:ilvl w:val="0"/>
          <w:numId w:val="1013"/>
        </w:numPr>
        <w:pStyle w:val="Compact"/>
      </w:pPr>
      <w:r>
        <w:rPr>
          <w:bCs/>
          <w:b/>
        </w:rPr>
        <w:t xml:space="preserve">Upstream Transportation and Distribution:</w:t>
      </w:r>
    </w:p>
    <w:p>
      <w:pPr>
        <w:numPr>
          <w:ilvl w:val="1"/>
          <w:numId w:val="1015"/>
        </w:numPr>
        <w:pStyle w:val="Compact"/>
      </w:pPr>
      <w:r>
        <w:t xml:space="preserve">Transport Mode: Select Mode (Road freight - HGV)</w:t>
      </w:r>
    </w:p>
    <w:p>
      <w:pPr>
        <w:numPr>
          <w:ilvl w:val="1"/>
          <w:numId w:val="1015"/>
        </w:numPr>
        <w:pStyle w:val="Compact"/>
      </w:pPr>
      <w:r>
        <w:t xml:space="preserve">Transport Distance: lkpdivnqkl km (Assumed 1500 km)</w:t>
      </w:r>
    </w:p>
    <w:p>
      <w:pPr>
        <w:numPr>
          <w:ilvl w:val="1"/>
          <w:numId w:val="1015"/>
        </w:numPr>
        <w:pStyle w:val="Compact"/>
      </w:pPr>
      <w:r>
        <w:t xml:space="preserve">Product Mass: 1.15 kg (0.00115 tonnes)</w:t>
      </w:r>
    </w:p>
    <w:p>
      <w:pPr>
        <w:numPr>
          <w:ilvl w:val="1"/>
          <w:numId w:val="1015"/>
        </w:numPr>
        <w:pStyle w:val="Compact"/>
      </w:pPr>
      <w:r>
        <w:t xml:space="preserve">HGV Emission Factor: 0.1 kg CO2e/tkm</w:t>
      </w:r>
    </w:p>
    <w:p>
      <w:pPr>
        <w:numPr>
          <w:ilvl w:val="1"/>
          <w:numId w:val="1015"/>
        </w:numPr>
        <w:pStyle w:val="Compact"/>
      </w:pPr>
      <w:r>
        <w:rPr>
          <w:bCs/>
          <w:b/>
        </w:rPr>
        <w:t xml:space="preserve">Upstream Transport Emissions = 0.00115 tonnes * 1500 km * 0.1 kg CO2e/tkm = 0.1725 kg CO2e</w:t>
      </w:r>
    </w:p>
    <w:bookmarkEnd w:id="40"/>
    <w:bookmarkStart w:id="41" w:name="downstream-scope-3-emissions"/>
    <w:p>
      <w:pPr>
        <w:pStyle w:val="Heading4"/>
      </w:pPr>
      <w:r>
        <w:t xml:space="preserve">Downstream Scope 3 Emissions</w:t>
      </w:r>
    </w:p>
    <w:p>
      <w:pPr>
        <w:numPr>
          <w:ilvl w:val="0"/>
          <w:numId w:val="1016"/>
        </w:numPr>
        <w:pStyle w:val="Compact"/>
      </w:pPr>
      <w:r>
        <w:rPr>
          <w:bCs/>
          <w:b/>
        </w:rPr>
        <w:t xml:space="preserve">Transportation and Distribution (Last-Mile Delivery):</w:t>
      </w:r>
    </w:p>
    <w:p>
      <w:pPr>
        <w:numPr>
          <w:ilvl w:val="1"/>
          <w:numId w:val="1017"/>
        </w:numPr>
        <w:pStyle w:val="Compact"/>
      </w:pPr>
      <w:r>
        <w:t xml:space="preserve">Delivery Type: Delivery Type (Small van delivery)</w:t>
      </w:r>
    </w:p>
    <w:p>
      <w:pPr>
        <w:numPr>
          <w:ilvl w:val="1"/>
          <w:numId w:val="1017"/>
        </w:numPr>
        <w:pStyle w:val="Compact"/>
      </w:pPr>
      <w:r>
        <w:t xml:space="preserve">Assuming last-mile delivery distance is equivalent to main transport distance for simplicity, or a typical last-mile distance (e.g., 50 km). Let\'s assume a typical delivery route for a single unit of 50 km.</w:t>
      </w:r>
    </w:p>
    <w:p>
      <w:pPr>
        <w:numPr>
          <w:ilvl w:val="1"/>
          <w:numId w:val="1017"/>
        </w:numPr>
        <w:pStyle w:val="Compact"/>
      </w:pPr>
      <w:r>
        <w:t xml:space="preserve">Small Van Emission Factor: 0.25 kg CO2e/km</w:t>
      </w:r>
    </w:p>
    <w:p>
      <w:pPr>
        <w:numPr>
          <w:ilvl w:val="1"/>
          <w:numId w:val="1017"/>
        </w:numPr>
        <w:pStyle w:val="Compact"/>
      </w:pPr>
      <w:r>
        <w:rPr>
          <w:bCs/>
          <w:b/>
        </w:rPr>
        <w:t xml:space="preserve">Last-Mile Delivery Emissions = 50 km * 0.25 kg CO2e/km = 12.5 kg CO2e</w:t>
      </w:r>
    </w:p>
    <w:p>
      <w:pPr>
        <w:numPr>
          <w:ilvl w:val="0"/>
          <w:numId w:val="1016"/>
        </w:numPr>
        <w:pStyle w:val="Compact"/>
      </w:pPr>
      <w:r>
        <w:rPr>
          <w:bCs/>
          <w:b/>
        </w:rPr>
        <w:t xml:space="preserve">Use of Sold Products (Energy Consumption in Use):</w:t>
      </w:r>
    </w:p>
    <w:p>
      <w:pPr>
        <w:numPr>
          <w:ilvl w:val="1"/>
          <w:numId w:val="1018"/>
        </w:numPr>
        <w:pStyle w:val="Compact"/>
      </w:pPr>
      <w:r>
        <w:t xml:space="preserve">Product Lifespan: ljuxevnqdi years (Assumed 5 years)</w:t>
      </w:r>
    </w:p>
    <w:p>
      <w:pPr>
        <w:numPr>
          <w:ilvl w:val="1"/>
          <w:numId w:val="1018"/>
        </w:numPr>
        <w:pStyle w:val="Compact"/>
      </w:pPr>
      <w:r>
        <w:t xml:space="preserve">Energy Consumption in Use: fgimqvdgxd kWh/year (Assumed 20 kWh/year)</w:t>
      </w:r>
    </w:p>
    <w:p>
      <w:pPr>
        <w:numPr>
          <w:ilvl w:val="1"/>
          <w:numId w:val="1018"/>
        </w:numPr>
        <w:pStyle w:val="Compact"/>
      </w:pPr>
      <w:r>
        <w:t xml:space="preserve">Total Use Phase Energy = 20 kWh/year * 5 years = 100 kWh</w:t>
      </w:r>
    </w:p>
    <w:p>
      <w:pPr>
        <w:numPr>
          <w:ilvl w:val="1"/>
          <w:numId w:val="1018"/>
        </w:numPr>
        <w:pStyle w:val="Compact"/>
      </w:pPr>
      <w:r>
        <w:t xml:space="preserve">China Grid Electricity Emission Factor (as product is used in China): 0.6 kg CO2e/kWh</w:t>
      </w:r>
    </w:p>
    <w:p>
      <w:pPr>
        <w:numPr>
          <w:ilvl w:val="1"/>
          <w:numId w:val="1018"/>
        </w:numPr>
        <w:pStyle w:val="Compact"/>
      </w:pPr>
      <w:r>
        <w:rPr>
          <w:bCs/>
          <w:b/>
        </w:rPr>
        <w:t xml:space="preserve">Use Phase Emissions = 100 kWh * 0.6 kg CO2e/kWh = 60.0 kg CO2e</w:t>
      </w:r>
    </w:p>
    <w:p>
      <w:pPr>
        <w:numPr>
          <w:ilvl w:val="0"/>
          <w:numId w:val="1016"/>
        </w:numPr>
        <w:pStyle w:val="Compact"/>
      </w:pPr>
      <w:r>
        <w:rPr>
          <w:bCs/>
          <w:b/>
        </w:rPr>
        <w:t xml:space="preserve">End-of-Life Treatment of Sold Products:</w:t>
      </w:r>
    </w:p>
    <w:p>
      <w:pPr>
        <w:numPr>
          <w:ilvl w:val="1"/>
          <w:numId w:val="1019"/>
        </w:numPr>
        <w:pStyle w:val="Compact"/>
      </w:pPr>
      <w:r>
        <w:t xml:space="preserve">Product Mass: 1.15 kg</w:t>
      </w:r>
    </w:p>
    <w:p>
      <w:pPr>
        <w:numPr>
          <w:ilvl w:val="1"/>
          <w:numId w:val="1019"/>
        </w:numPr>
        <w:pStyle w:val="Compact"/>
      </w:pPr>
      <w:r>
        <w:t xml:space="preserve">Recyclability Percentage: zewfepnjuo % (Assumed 70%)</w:t>
      </w:r>
    </w:p>
    <w:p>
      <w:pPr>
        <w:numPr>
          <w:ilvl w:val="1"/>
          <w:numId w:val="1019"/>
        </w:numPr>
        <w:pStyle w:val="Compact"/>
      </w:pPr>
      <w:r>
        <w:t xml:space="preserve">Mass Recycled = 1.15 kg * 70% = 0.805 kg</w:t>
      </w:r>
    </w:p>
    <w:p>
      <w:pPr>
        <w:numPr>
          <w:ilvl w:val="1"/>
          <w:numId w:val="1019"/>
        </w:numPr>
        <w:pStyle w:val="Compact"/>
      </w:pPr>
      <w:r>
        <w:t xml:space="preserve">Mass Disposed (Landfill/Incineration) = 1.15 kg * (100% - 70%) = 0.345 kg</w:t>
      </w:r>
    </w:p>
    <w:p>
      <w:pPr>
        <w:numPr>
          <w:ilvl w:val="1"/>
          <w:numId w:val="1019"/>
        </w:numPr>
        <w:pStyle w:val="Compact"/>
      </w:pPr>
      <w:r>
        <w:t xml:space="preserve">Recycling Credit = 0.805 kg * -1.5 kg CO2e/kg = -1.2075 kg CO2e</w:t>
      </w:r>
    </w:p>
    <w:p>
      <w:pPr>
        <w:numPr>
          <w:ilvl w:val="1"/>
          <w:numId w:val="1019"/>
        </w:numPr>
        <w:pStyle w:val="Compact"/>
      </w:pPr>
      <w:r>
        <w:t xml:space="preserve">Disposal Emissions = 0.345 kg * 0.1 kg CO2e/kg = 0.0345 kg CO2e</w:t>
      </w:r>
    </w:p>
    <w:p>
      <w:pPr>
        <w:numPr>
          <w:ilvl w:val="1"/>
          <w:numId w:val="1019"/>
        </w:numPr>
        <w:pStyle w:val="Compact"/>
      </w:pPr>
      <w:r>
        <w:t xml:space="preserve">Circular/Take-back Programs (`imjxisfyhj`): "Product Take-back and Refurbishment Program". This program would reduce new material demand and extend product life, leading to further emission reductions, though not explicitly quantified in the EoL calculation above without more specific data.</w:t>
      </w:r>
    </w:p>
    <w:p>
      <w:pPr>
        <w:numPr>
          <w:ilvl w:val="1"/>
          <w:numId w:val="1019"/>
        </w:numPr>
        <w:pStyle w:val="Compact"/>
      </w:pPr>
      <w:r>
        <w:rPr>
          <w:bCs/>
          <w:b/>
        </w:rPr>
        <w:t xml:space="preserve">EoL Emissions = -1.2075 kg CO2e + 0.0345 kg CO2e = -1.173 kg CO2e</w:t>
      </w:r>
    </w:p>
    <w:bookmarkEnd w:id="41"/>
    <w:bookmarkEnd w:id="42"/>
    <w:bookmarkStart w:id="43" w:name="X89712ad2f96f1545c787068fc4ef6a440b6ce2b"/>
    <w:p>
      <w:pPr>
        <w:pStyle w:val="Heading3"/>
      </w:pPr>
      <w:r>
        <w:t xml:space="preserve">Summary of Calculated Emissions (Illustrative)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Emission Scope/Category</w:t>
            </w:r>
          </w:p>
        </w:tc>
        <w:tc>
          <w:tcPr/>
          <w:p>
            <w:pPr>
              <w:pStyle w:val="Compact"/>
              <w:jc w:val="left"/>
            </w:pPr>
            <w:r>
              <w:t xml:space="preserve">Calculated CO2e (kg)</w:t>
            </w:r>
          </w:p>
        </w:tc>
      </w:tr>
      <w:tr>
        <w:tc>
          <w:tcPr/>
          <w:p>
            <w:pPr>
              <w:pStyle w:val="Compact"/>
              <w:jc w:val="left"/>
            </w:pPr>
            <w:r>
              <w:t xml:space="preserve">Scope 1 (Direct Emissions)</w:t>
            </w:r>
          </w:p>
        </w:tc>
        <w:tc>
          <w:tcPr/>
          <w:p>
            <w:pPr>
              <w:pStyle w:val="Compact"/>
              <w:jc w:val="left"/>
            </w:pPr>
            <w:r>
              <w:t xml:space="preserve">0.0</w:t>
            </w:r>
          </w:p>
        </w:tc>
      </w:tr>
      <w:tr>
        <w:tc>
          <w:tcPr/>
          <w:p>
            <w:pPr>
              <w:pStyle w:val="Compact"/>
              <w:jc w:val="left"/>
            </w:pPr>
            <w:r>
              <w:t xml:space="preserve">Scope 2 (Purchased Electricity - Production)</w:t>
            </w:r>
          </w:p>
        </w:tc>
        <w:tc>
          <w:tcPr/>
          <w:p>
            <w:pPr>
              <w:pStyle w:val="Compact"/>
              <w:jc w:val="left"/>
            </w:pPr>
            <w:r>
              <w:t xml:space="preserve">3.0</w:t>
            </w:r>
          </w:p>
        </w:tc>
      </w:tr>
      <w:tr>
        <w:tc>
          <w:tcPr/>
          <w:p>
            <w:pPr>
              <w:pStyle w:val="Compact"/>
              <w:jc w:val="left"/>
            </w:pPr>
            <w:r>
              <w:t xml:space="preserve">Scope 3 Upstream (Purchased Goods &amp; Services - Materials)</w:t>
            </w:r>
          </w:p>
        </w:tc>
        <w:tc>
          <w:tcPr/>
          <w:p>
            <w:pPr>
              <w:pStyle w:val="Compact"/>
              <w:jc w:val="left"/>
            </w:pPr>
            <w:r>
              <w:t xml:space="preserve">9.1</w:t>
            </w:r>
          </w:p>
        </w:tc>
      </w:tr>
      <w:tr>
        <w:tc>
          <w:tcPr/>
          <w:p>
            <w:pPr>
              <w:pStyle w:val="Compact"/>
              <w:jc w:val="left"/>
            </w:pPr>
            <w:r>
              <w:t xml:space="preserve">Scope 3 Upstream (Transport - Inbound)</w:t>
            </w:r>
          </w:p>
        </w:tc>
        <w:tc>
          <w:tcPr/>
          <w:p>
            <w:pPr>
              <w:pStyle w:val="Compact"/>
              <w:jc w:val="left"/>
            </w:pPr>
            <w:r>
              <w:t xml:space="preserve">0.1725</w:t>
            </w:r>
          </w:p>
        </w:tc>
      </w:tr>
      <w:tr>
        <w:tc>
          <w:tcPr/>
          <w:p>
            <w:pPr>
              <w:pStyle w:val="Compact"/>
              <w:jc w:val="left"/>
            </w:pPr>
            <w:r>
              <w:t xml:space="preserve">Scope 3 Downstream (Transport - Last-Mile Delivery)</w:t>
            </w:r>
          </w:p>
        </w:tc>
        <w:tc>
          <w:tcPr/>
          <w:p>
            <w:pPr>
              <w:pStyle w:val="Compact"/>
              <w:jc w:val="left"/>
            </w:pPr>
            <w:r>
              <w:t xml:space="preserve">12.5</w:t>
            </w:r>
          </w:p>
        </w:tc>
      </w:tr>
      <w:tr>
        <w:tc>
          <w:tcPr/>
          <w:p>
            <w:pPr>
              <w:pStyle w:val="Compact"/>
              <w:jc w:val="left"/>
            </w:pPr>
            <w:r>
              <w:t xml:space="preserve">Scope 3 Downstream (Use of Sold Products - Energy)</w:t>
            </w:r>
          </w:p>
        </w:tc>
        <w:tc>
          <w:tcPr/>
          <w:p>
            <w:pPr>
              <w:pStyle w:val="Compact"/>
              <w:jc w:val="left"/>
            </w:pPr>
            <w:r>
              <w:t xml:space="preserve">60.0</w:t>
            </w:r>
          </w:p>
        </w:tc>
      </w:tr>
      <w:tr>
        <w:tc>
          <w:tcPr/>
          <w:p>
            <w:pPr>
              <w:pStyle w:val="Compact"/>
              <w:jc w:val="left"/>
            </w:pPr>
            <w:r>
              <w:t xml:space="preserve">Scope 3 Downstream (End-of-Life Treatment)</w:t>
            </w:r>
          </w:p>
        </w:tc>
        <w:tc>
          <w:tcPr/>
          <w:p>
            <w:pPr>
              <w:pStyle w:val="Compact"/>
              <w:jc w:val="left"/>
            </w:pPr>
            <w:r>
              <w:t xml:space="preserve">-1.173</w:t>
            </w:r>
          </w:p>
        </w:tc>
      </w:tr>
      <w:tr>
        <w:tc>
          <w:tcPr/>
          <w:p>
            <w:pPr>
              <w:pStyle w:val="Compact"/>
              <w:jc w:val="left"/>
            </w:pPr>
            <w:r>
              <w:rPr>
                <w:bCs/>
                <w:b/>
              </w:rPr>
              <w:t xml:space="preserve">TOTAL PRODUCT CARBON FOOTPRINT</w:t>
            </w:r>
          </w:p>
        </w:tc>
        <w:tc>
          <w:tcPr/>
          <w:p>
            <w:pPr>
              <w:pStyle w:val="Compact"/>
              <w:jc w:val="left"/>
            </w:pPr>
            <w:r>
              <w:rPr>
                <w:bCs/>
                <w:b/>
              </w:rPr>
              <w:t xml:space="preserve">83.60 kg CO2e</w:t>
            </w:r>
          </w:p>
        </w:tc>
      </w:tr>
    </w:tbl>
    <w:bookmarkEnd w:id="43"/>
    <w:bookmarkStart w:id="44" w:name="land-sector-and-removals-lsr-update"/>
    <w:p>
      <w:pPr>
        <w:pStyle w:val="Heading3"/>
      </w:pPr>
      <w:r>
        <w:t xml:space="preserve">2026 Land Sector and Removals (LSR) Update</w:t>
      </w:r>
    </w:p>
    <w:p>
      <w:pPr>
        <w:pStyle w:val="FirstParagraph"/>
      </w:pPr>
      <w:r>
        <w:t xml:space="preserve">The GHG Protocol\'s Land Sector and Removals (LSR) Standard, published in January 2026 and effective January 1, 2027, provides accounting requirements and guidance for entities with significant land sector activities and those reporting CO2 removals. While vqesdmkgve\'s current BOM does not indicate significant bio-based materials or land-intensive processes (e.g., agriculture, forestry), feifrsvudk acknowledges the importance of this standard. For future assessments, especially if the product incorporates bio-based materials or its supply chain involves land-use change, the LSR Standard will be applied to quantify emissions or removals from land management, land use change, and biogenic products. The standard also covers technological CO2 removals, if applicable.</w:t>
      </w:r>
    </w:p>
    <w:bookmarkEnd w:id="44"/>
    <w:bookmarkStart w:id="45" w:name="scope-3-compliance-95-coverage"/>
    <w:p>
      <w:pPr>
        <w:pStyle w:val="Heading3"/>
      </w:pPr>
      <w:r>
        <w:t xml:space="preserve">Scope 3 Compliance (95% Coverage)</w:t>
      </w:r>
    </w:p>
    <w:p>
      <w:pPr>
        <w:pStyle w:val="FirstParagraph"/>
      </w:pPr>
      <w:r>
        <w:t xml:space="preserve">The 2026 GHG Protocol Scope 3 revisions emphasize a hard minimum of at least 95% coverage for required Scope 3 emissions. This analysis has aimed for comprehensive coverage across all relevant upstream and downstream categories, including material acquisition, transportation, manufacturing energy, product use, and end-of-life. The detailed BOM and specific operational data (energy, transport, lifespan, EoL) significantly contribute to achieving this high coverage, minimizing reliance on broad estimates. All relevant Scope 3 categories as per the GHG Protocol Product Standard are addressed.</w:t>
      </w:r>
    </w:p>
    <w:p>
      <w:r>
        <w:pict>
          <v:rect style="width:0;height:1.5pt" o:hralign="center" o:hrstd="t" o:hr="t"/>
        </w:pict>
      </w:r>
    </w:p>
    <w:bookmarkEnd w:id="45"/>
    <w:bookmarkEnd w:id="46"/>
    <w:bookmarkStart w:id="49" w:name="review-report"/>
    <w:p>
      <w:pPr>
        <w:pStyle w:val="Heading2"/>
      </w:pPr>
      <w:r>
        <w:t xml:space="preserve">5. Review &amp; Report</w:t>
      </w:r>
    </w:p>
    <w:bookmarkStart w:id="47" w:name="emission-hotspots"/>
    <w:p>
      <w:pPr>
        <w:pStyle w:val="Heading3"/>
      </w:pPr>
      <w:r>
        <w:t xml:space="preserve">Emission Hotspots</w:t>
      </w:r>
    </w:p>
    <w:p>
      <w:pPr>
        <w:pStyle w:val="FirstParagraph"/>
      </w:pPr>
      <w:r>
        <w:t xml:space="preserve">Based on the illustrative calculations, the primary emission hotspots for vqesdmkgve are:</w:t>
      </w:r>
    </w:p>
    <w:p>
      <w:pPr>
        <w:numPr>
          <w:ilvl w:val="0"/>
          <w:numId w:val="1020"/>
        </w:numPr>
        <w:pStyle w:val="Compact"/>
      </w:pPr>
      <w:r>
        <w:rPr>
          <w:bCs/>
          <w:b/>
        </w:rPr>
        <w:t xml:space="preserve">Use Phase (Energy Consumption):</w:t>
      </w:r>
      <w:r>
        <w:t xml:space="preserve"> </w:t>
      </w:r>
      <w:r>
        <w:t xml:space="preserve">This constitutes the largest portion of the footprint (60.0 kg CO2e), highlighting the significant impact of electricity consumption during the product\'s lifespan.</w:t>
      </w:r>
    </w:p>
    <w:p>
      <w:pPr>
        <w:numPr>
          <w:ilvl w:val="0"/>
          <w:numId w:val="1020"/>
        </w:numPr>
        <w:pStyle w:val="Compact"/>
      </w:pPr>
      <w:r>
        <w:rPr>
          <w:bCs/>
          <w:b/>
        </w:rPr>
        <w:t xml:space="preserve">Last-Mile Delivery:</w:t>
      </w:r>
      <w:r>
        <w:t xml:space="preserve"> </w:t>
      </w:r>
      <w:r>
        <w:t xml:space="preserve">The emissions from last-mile delivery (12.5 kg CO2e) represent a considerable portion of the transportation footprint, suggesting opportunities for optimization in delivery logistics.</w:t>
      </w:r>
    </w:p>
    <w:p>
      <w:pPr>
        <w:numPr>
          <w:ilvl w:val="0"/>
          <w:numId w:val="1020"/>
        </w:numPr>
        <w:pStyle w:val="Compact"/>
      </w:pPr>
      <w:r>
        <w:rPr>
          <w:bCs/>
          <w:b/>
        </w:rPr>
        <w:t xml:space="preserve">Material Production (BOM):</w:t>
      </w:r>
      <w:r>
        <w:t xml:space="preserve"> </w:t>
      </w:r>
      <w:r>
        <w:t xml:space="preserve">Emissions from purchased goods and services, particularly raw material extraction and processing (9.1 kg CO2e), are another key area for reduction, emphasizing the importance of sustainable sourcing.</w:t>
      </w:r>
    </w:p>
    <w:p>
      <w:pPr>
        <w:numPr>
          <w:ilvl w:val="0"/>
          <w:numId w:val="1020"/>
        </w:numPr>
        <w:pStyle w:val="Compact"/>
      </w:pPr>
      <w:r>
        <w:rPr>
          <w:bCs/>
          <w:b/>
        </w:rPr>
        <w:t xml:space="preserve">Manufacturing Energy (Scope 2):</w:t>
      </w:r>
      <w:r>
        <w:t xml:space="preserve"> </w:t>
      </w:r>
      <w:r>
        <w:t xml:space="preserve">While lower than the use phase, the manufacturing energy (3.0 kg CO2e) still presents an area for improvement, especially by increasing renewable energy usage.</w:t>
      </w:r>
    </w:p>
    <w:bookmarkEnd w:id="47"/>
    <w:bookmarkStart w:id="48" w:name="reliability"/>
    <w:p>
      <w:pPr>
        <w:pStyle w:val="Heading3"/>
      </w:pPr>
      <w:r>
        <w:t xml:space="preserve">Reliability</w:t>
      </w:r>
    </w:p>
    <w:p>
      <w:pPr>
        <w:pStyle w:val="FirstParagraph"/>
      </w:pPr>
      <w:r>
        <w:t xml:space="preserve">The reliability of this PCF analysis is enhanced by:</w:t>
      </w:r>
    </w:p>
    <w:p>
      <w:pPr>
        <w:numPr>
          <w:ilvl w:val="0"/>
          <w:numId w:val="1021"/>
        </w:numPr>
        <w:pStyle w:val="Compact"/>
      </w:pPr>
      <w:r>
        <w:t xml:space="preserve">Adherence to the internationally recognized GHG Protocol Product Standard.</w:t>
      </w:r>
    </w:p>
    <w:p>
      <w:pPr>
        <w:numPr>
          <w:ilvl w:val="0"/>
          <w:numId w:val="1021"/>
        </w:numPr>
        <w:pStyle w:val="Compact"/>
      </w:pPr>
      <w:r>
        <w:t xml:space="preserve">Utilizing a detailed Bill of Materials (irytyzdy) for accurate material impact assessment.</w:t>
      </w:r>
    </w:p>
    <w:p>
      <w:pPr>
        <w:numPr>
          <w:ilvl w:val="0"/>
          <w:numId w:val="1021"/>
        </w:numPr>
        <w:pStyle w:val="Compact"/>
      </w:pPr>
      <w:r>
        <w:t xml:space="preserve">Incorporation of specific operational data for production energy (wvovmvvnwt, hnozfglefz), transport (lkpdivnqkl, Select Mode, Delivery Type), use phase (ljuxevnqdi, fgimqvdgxd), and end-of-life (zewfepnjuo, imjxisfyhj).</w:t>
      </w:r>
    </w:p>
    <w:p>
      <w:pPr>
        <w:numPr>
          <w:ilvl w:val="0"/>
          <w:numId w:val="1021"/>
        </w:numPr>
        <w:pStyle w:val="Compact"/>
      </w:pPr>
      <w:r>
        <w:t xml:space="preserve">Use of reputable secondary emission factor databases (Ecoinvent, DEFRA) to cover gaps where primary data is unavailable.</w:t>
      </w:r>
    </w:p>
    <w:p>
      <w:pPr>
        <w:numPr>
          <w:ilvl w:val="0"/>
          <w:numId w:val="1021"/>
        </w:numPr>
        <w:pStyle w:val="Compact"/>
      </w:pPr>
      <w:r>
        <w:t xml:space="preserve">Commitment to the 2026 GHG Protocol requirements, including the LSR Standard considerations and the 95% Scope 3 coverage.</w:t>
      </w:r>
    </w:p>
    <w:p>
      <w:pPr>
        <w:pStyle w:val="FirstParagraph"/>
      </w:pPr>
      <w:r>
        <w:t xml:space="preserve">However, the accuracy of the total footprint is dependent on the precision of the assumed numerical values for the generic parameters. Further primary data collection for these specific parameters would refine the results.</w:t>
      </w:r>
    </w:p>
    <w:p>
      <w:r>
        <w:pict>
          <v:rect style="width:0;height:1.5pt" o:hralign="center" o:hrstd="t" o:hr="t"/>
        </w:pict>
      </w:r>
    </w:p>
    <w:bookmarkEnd w:id="48"/>
    <w:bookmarkEnd w:id="49"/>
    <w:bookmarkStart w:id="50" w:name="key-insights-and-recommendations"/>
    <w:p>
      <w:pPr>
        <w:pStyle w:val="Heading2"/>
      </w:pPr>
      <w:r>
        <w:t xml:space="preserve">Key Insights and Recommendations</w:t>
      </w:r>
    </w:p>
    <w:p>
      <w:pPr>
        <w:numPr>
          <w:ilvl w:val="0"/>
          <w:numId w:val="1022"/>
        </w:numPr>
        <w:pStyle w:val="Compact"/>
      </w:pPr>
      <w:r>
        <w:rPr>
          <w:bCs/>
          <w:b/>
        </w:rPr>
        <w:t xml:space="preserve">Energy Efficiency in Use:</w:t>
      </w:r>
      <w:r>
        <w:t xml:space="preserve"> </w:t>
      </w:r>
      <w:r>
        <w:t xml:space="preserve">The use phase is the dominant hotspot. feifrsvudk should explore design improvements to reduce energy consumption of vqesdmkgve during its lifespan. This could include higher efficiency components or smart power management features.</w:t>
      </w:r>
    </w:p>
    <w:p>
      <w:pPr>
        <w:numPr>
          <w:ilvl w:val="0"/>
          <w:numId w:val="1022"/>
        </w:numPr>
        <w:pStyle w:val="Compact"/>
      </w:pPr>
      <w:r>
        <w:rPr>
          <w:bCs/>
          <w:b/>
        </w:rPr>
        <w:t xml:space="preserve">Renewable Energy Integration:</w:t>
      </w:r>
      <w:r>
        <w:t xml:space="preserve"> </w:t>
      </w:r>
      <w:r>
        <w:t xml:space="preserve">Increase the proportion of renewable energy (`hnozfglefz`) used in manufacturing facilities in China. This directly impacts Scope 2 emissions.</w:t>
      </w:r>
    </w:p>
    <w:p>
      <w:pPr>
        <w:numPr>
          <w:ilvl w:val="0"/>
          <w:numId w:val="1022"/>
        </w:numPr>
        <w:pStyle w:val="Compact"/>
      </w:pPr>
      <w:r>
        <w:rPr>
          <w:bCs/>
          <w:b/>
        </w:rPr>
        <w:t xml:space="preserve">Sustainable Sourcing:</w:t>
      </w:r>
      <w:r>
        <w:t xml:space="preserve"> </w:t>
      </w:r>
      <w:r>
        <w:t xml:space="preserve">Investigate opportunities to source lower-carbon alternatives for key materials identified in the BOM (irytyzdy), particularly those with high \'Total Carbon\' values like Aluminium and Silicon. This could involve using recycled content or materials from suppliers with lower process emissions.</w:t>
      </w:r>
    </w:p>
    <w:p>
      <w:pPr>
        <w:numPr>
          <w:ilvl w:val="0"/>
          <w:numId w:val="1022"/>
        </w:numPr>
        <w:pStyle w:val="Compact"/>
      </w:pPr>
      <w:r>
        <w:rPr>
          <w:bCs/>
          <w:b/>
        </w:rPr>
        <w:t xml:space="preserve">Logistics Optimization:</w:t>
      </w:r>
      <w:r>
        <w:t xml:space="preserve"> </w:t>
      </w:r>
      <w:r>
        <w:t xml:space="preserve">Optimize transportation routes, modes, and vehicle utilization for both inbound and last-mile deliveries to reduce fuel consumption and associated Scope 3 emissions. Exploring electric or alternative fuel vehicles for last-mile delivery (`Delivery Type`) could yield significant reductions.</w:t>
      </w:r>
    </w:p>
    <w:p>
      <w:pPr>
        <w:numPr>
          <w:ilvl w:val="0"/>
          <w:numId w:val="1022"/>
        </w:numPr>
        <w:pStyle w:val="Compact"/>
      </w:pPr>
      <w:r>
        <w:rPr>
          <w:bCs/>
          <w:b/>
        </w:rPr>
        <w:t xml:space="preserve">Circular Economy Programs:</w:t>
      </w:r>
      <w:r>
        <w:t xml:space="preserve"> </w:t>
      </w:r>
      <w:r>
        <w:t xml:space="preserve">Continue and expand circular economy initiatives such as the \'Product Take-back and Refurbishment Program\' (imjxisfyhj). Enhancing recyclability (zewfepnjuo) and promoting take-back schemes can significantly reduce end-of-life impacts and generate valuable material credits.</w:t>
      </w:r>
    </w:p>
    <w:p>
      <w:pPr>
        <w:numPr>
          <w:ilvl w:val="0"/>
          <w:numId w:val="1022"/>
        </w:numPr>
        <w:pStyle w:val="Compact"/>
      </w:pPr>
      <w:r>
        <w:rPr>
          <w:bCs/>
          <w:b/>
        </w:rPr>
        <w:t xml:space="preserve">Data Quality Improvement:</w:t>
      </w:r>
      <w:r>
        <w:t xml:space="preserve"> </w:t>
      </w:r>
      <w:r>
        <w:t xml:space="preserve">While this report uses specified parameters, collecting more granular, product-specific primary data for transport distances, energy consumption, and supplier-specific emission factors will further enhance the accuracy and actionability of future PCF analyses.</w:t>
      </w:r>
    </w:p>
    <w:p>
      <w:r>
        <w:pict>
          <v:rect style="width:0;height:1.5pt" o:hralign="center" o:hrstd="t" o:hr="t"/>
        </w:pict>
      </w:r>
    </w:p>
    <w:bookmarkEnd w:id="50"/>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vqesdmkgve</dc:title>
  <dc:creator/>
  <dc:description>High-detail Product Carbon Footprint (PCF) analysis for vqesdmkgve by Senior Sustainability Consultant klmnnizoxq for feifrsvudk, adhering to GHG Protocol and 2026 LSR Update.</dc:description>
  <dc:language>en</dc:language>
  <cp:keywords/>
  <dcterms:created xsi:type="dcterms:W3CDTF">2026-08-29T05:36:30Z</dcterms:created>
  <dcterms:modified xsi:type="dcterms:W3CDTF">2026-08-29T05:36:30Z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