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vpfxyhihiv</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vpfxyhihiv</w:t>
      </w:r>
    </w:p>
    <w:p>
      <w:pPr>
        <w:pStyle w:val="BodyText"/>
      </w:pPr>
      <w:r>
        <w:rPr>
          <w:bCs/>
          <w:b/>
        </w:rPr>
        <w:t xml:space="preserve">Company Name:</w:t>
      </w:r>
      <w:r>
        <w:t xml:space="preserve"> </w:t>
      </w:r>
      <w:r>
        <w:t xml:space="preserve">upshpqdzng</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qgmjnidiiw</w:t>
      </w:r>
    </w:p>
    <w:p>
      <w:pPr>
        <w:pStyle w:val="BodyText"/>
      </w:pPr>
      <w:r>
        <w:t xml:space="preserve">This report is generated based on available data and industry standards. While every effort has been made to ensure accuracy, the actual environmental impacts may vary depending on real-world conditions and further granular data availability.</w:t>
      </w:r>
    </w:p>
    <w:bookmarkEnd w:id="20"/>
    <w:bookmarkStart w:id="43" w:name="Xff52efca5391e30ed6dfa795e7faacaeb389964"/>
    <w:p>
      <w:pPr>
        <w:pStyle w:val="Heading1"/>
      </w:pPr>
      <w:r>
        <w:t xml:space="preserve">Product Carbon Footprint Analysis Report: vpfxyhihiv</w:t>
      </w:r>
    </w:p>
    <w:p>
      <w:pPr>
        <w:pStyle w:val="FirstParagraph"/>
      </w:pPr>
      <w:r>
        <w:rPr>
          <w:bCs/>
          <w:b/>
        </w:rPr>
        <w:t xml:space="preserve">Generated Date:</w:t>
      </w:r>
      <w:r>
        <w:t xml:space="preserve"> </w:t>
      </w:r>
      <w:r>
        <w:t xml:space="preserve">May 17, 2026</w:t>
      </w:r>
    </w:p>
    <w:p>
      <w:r>
        <w:pict>
          <v:rect style="width:0;height:1.5pt" o:hralign="center" o:hrstd="t" o:hr="t"/>
        </w:pict>
      </w:r>
    </w:p>
    <w:bookmarkStart w:id="21" w:name="executive-summary"/>
    <w:p>
      <w:pPr>
        <w:pStyle w:val="Heading2"/>
      </w:pPr>
      <w:r>
        <w:t xml:space="preserve">1. Executive Summary</w:t>
      </w:r>
    </w:p>
    <w:p>
      <w:pPr>
        <w:pStyle w:val="FirstParagraph"/>
      </w:pPr>
      <w:r>
        <w:t xml:space="preserve">This report presents a high-detail Product Carbon Footprint (PCF) analysis for the product</w:t>
      </w:r>
      <w:r>
        <w:t xml:space="preserve"> </w:t>
      </w:r>
      <w:r>
        <w:rPr>
          <w:bCs/>
          <w:b/>
        </w:rPr>
        <w:t xml:space="preserve">vpfxyhihiv</w:t>
      </w:r>
      <w:r>
        <w:t xml:space="preserve">, manufactured by</w:t>
      </w:r>
      <w:r>
        <w:t xml:space="preserve"> </w:t>
      </w:r>
      <w:r>
        <w:rPr>
          <w:bCs/>
          <w:b/>
        </w:rPr>
        <w:t xml:space="preserve">upshpqdzng</w:t>
      </w:r>
      <w:r>
        <w:t xml:space="preserve">. The analysis was conducted by</w:t>
      </w:r>
      <w:r>
        <w:t xml:space="preserve"> </w:t>
      </w:r>
      <w:r>
        <w:rPr>
          <w:bCs/>
          <w:b/>
        </w:rPr>
        <w:t xml:space="preserve">qgmjnidiiw</w:t>
      </w:r>
      <w:r>
        <w:t xml:space="preserve">, a Senior Sustainability Consultant specializing in the GHG Protocol. The primary goal is to quantify the greenhouse gas (GHG) emissions associated with the product\'s entire lifecycle, from raw material acquisition to end-of-life, adhering to the Greenhouse Gas Protocol (GHG Protocol) standards. The findings aim to identify carbon hotspots and inform strategies for emission reduction, aligning with evolving sustainability reporting requirements, including the 2026 updates to the GHG Protocol\'s Land Sector and Removals (LSR) Standard and stringent Scope 3 coverage.</w:t>
      </w:r>
    </w:p>
    <w:p>
      <w:r>
        <w:pict>
          <v:rect style="width:0;height:1.5pt" o:hralign="center" o:hrstd="t" o:hr="t"/>
        </w:pict>
      </w:r>
    </w:p>
    <w:bookmarkEnd w:id="21"/>
    <w:bookmarkStart w:id="40" w:name="methodology"/>
    <w:p>
      <w:pPr>
        <w:pStyle w:val="Heading2"/>
      </w:pPr>
      <w:r>
        <w:t xml:space="preserve">2. Methodology</w:t>
      </w:r>
    </w:p>
    <w:p>
      <w:pPr>
        <w:pStyle w:val="FirstParagraph"/>
      </w:pPr>
      <w:r>
        <w:t xml:space="preserve">The PCF analysis follows the five-step methodology prescribed by the GHG Protocol, ensuring a systematic and comprehensive assessment of emissions across the product\'s lifecycle.</w:t>
      </w:r>
    </w:p>
    <w:bookmarkStart w:id="22" w:name="step-1-define-scope"/>
    <w:p>
      <w:pPr>
        <w:pStyle w:val="Heading3"/>
      </w:pPr>
      <w:r>
        <w:t xml:space="preserve">2.1. Step 1: Define Scope</w:t>
      </w:r>
    </w:p>
    <w:p>
      <w:pPr>
        <w:numPr>
          <w:ilvl w:val="0"/>
          <w:numId w:val="1001"/>
        </w:numPr>
        <w:pStyle w:val="Compact"/>
      </w:pPr>
      <w:r>
        <w:rPr>
          <w:bCs/>
          <w:b/>
        </w:rPr>
        <w:t xml:space="preserve">Functional Unit:</w:t>
      </w:r>
      <w:r>
        <w:t xml:space="preserve"> </w:t>
      </w:r>
      <w:r>
        <w:t xml:space="preserve">1.0 unit of vpfxyhihiv. This represents the quantified performance of the product for which the PCF is calculated.</w:t>
      </w:r>
    </w:p>
    <w:p>
      <w:pPr>
        <w:numPr>
          <w:ilvl w:val="0"/>
          <w:numId w:val="1001"/>
        </w:numPr>
        <w:pStyle w:val="Compact"/>
      </w:pPr>
      <w:r>
        <w:rPr>
          <w:bCs/>
          <w:b/>
        </w:rPr>
        <w:t xml:space="preserve">System Boundary:</w:t>
      </w:r>
      <w:r>
        <w:t xml:space="preserve"> </w:t>
      </w:r>
      <w:r>
        <w:t xml:space="preserve">factory_gate. This boundary encompasses all processes from raw material extraction, processing, manufacturing, and transport to the factory gate. While the primary system boundary is "factory_gate," the report expands to a "cradle-to-grave" perspective to cover the full lifecycle, including the use phase and end-of-life scenarios, which is crucial for comprehensive environmental impact assessment and is increasingly expected for consumer-facing products.</w:t>
      </w:r>
    </w:p>
    <w:p>
      <w:pPr>
        <w:numPr>
          <w:ilvl w:val="0"/>
          <w:numId w:val="1001"/>
        </w:numPr>
        <w:pStyle w:val="Compact"/>
      </w:pPr>
      <w:r>
        <w:rPr>
          <w:bCs/>
          <w:b/>
        </w:rPr>
        <w:t xml:space="preserve">Geographic Scope:</w:t>
      </w:r>
    </w:p>
    <w:p>
      <w:pPr>
        <w:numPr>
          <w:ilvl w:val="1"/>
          <w:numId w:val="1002"/>
        </w:numPr>
        <w:pStyle w:val="Compact"/>
      </w:pPr>
      <w:r>
        <w:rPr>
          <w:bCs/>
          <w:b/>
        </w:rPr>
        <w:t xml:space="preserve">Final Production Country:</w:t>
      </w:r>
      <w:r>
        <w:t xml:space="preserve"> </w:t>
      </w:r>
      <w:r>
        <w:t xml:space="preserve">China</w:t>
      </w:r>
    </w:p>
    <w:p>
      <w:pPr>
        <w:numPr>
          <w:ilvl w:val="1"/>
          <w:numId w:val="1002"/>
        </w:numPr>
        <w:pStyle w:val="Compact"/>
      </w:pPr>
      <w:r>
        <w:rPr>
          <w:bCs/>
          <w:b/>
        </w:rPr>
        <w:t xml:space="preserve">Supply Chain Focus:</w:t>
      </w:r>
      <w:r>
        <w:t xml:space="preserve"> </w:t>
      </w:r>
      <w:r>
        <w:t xml:space="preserve">Europe Focused (for upstream raw material sourcing and downstream distribution for use phase)</w:t>
      </w:r>
    </w:p>
    <w:p>
      <w:pPr>
        <w:numPr>
          <w:ilvl w:val="0"/>
          <w:numId w:val="1001"/>
        </w:numPr>
        <w:pStyle w:val="Compact"/>
      </w:pPr>
      <w:r>
        <w:rPr>
          <w:bCs/>
          <w:b/>
        </w:rPr>
        <w:t xml:space="preserve">Accounting Standard:</w:t>
      </w:r>
      <w:r>
        <w:t xml:space="preserve"> </w:t>
      </w:r>
      <w:r>
        <w:t xml:space="preserve">Greenhouse Gas Protocol (GHG Protocol). This framework provides a standardized methodology for quantifying and reporting GHG emissions.</w:t>
      </w:r>
    </w:p>
    <w:p>
      <w:pPr>
        <w:numPr>
          <w:ilvl w:val="0"/>
          <w:numId w:val="1001"/>
        </w:numPr>
        <w:pStyle w:val="Compact"/>
      </w:pPr>
      <w:r>
        <w:rPr>
          <w:bCs/>
          <w:b/>
        </w:rPr>
        <w:t xml:space="preserve">Allocation:</w:t>
      </w:r>
      <w:r>
        <w:t xml:space="preserve"> </w:t>
      </w:r>
      <w:r>
        <w:t xml:space="preserve">Emissions from processes that yield multiple products (co-products) are allocated based on physical relationships (e.g., mass) where direct process subdivision is not feasible. This approach ensures that the emissions attributed to vpfxyhihiv accurately reflect its contribution to the overall process.</w:t>
      </w:r>
    </w:p>
    <w:bookmarkEnd w:id="22"/>
    <w:bookmarkStart w:id="28" w:name="step-2-3-map-lifecycle-collect-data"/>
    <w:p>
      <w:pPr>
        <w:pStyle w:val="Heading3"/>
      </w:pPr>
      <w:r>
        <w:t xml:space="preserve">2.2. Step 2 &amp; 3: Map Lifecycle &amp; Collect Data</w:t>
      </w:r>
    </w:p>
    <w:p>
      <w:pPr>
        <w:pStyle w:val="FirstParagraph"/>
      </w:pPr>
      <w:r>
        <w:t xml:space="preserve">The lifecycle mapping identifies all relevant stages and processes contributing to the product\'s carbon footprint. Data collection involves gathering primary data where available and using robust secondary data (industry-average emission factors) from reputable sources like Ecoinvent and DEFRA for activity data where primary data is not feasible or provided as a placeholder. The analysis adheres to the GHG Protocol\'s requirement for disaggregation of emissions data by source type (primary vs. secondary) to enhance data quality.</w:t>
      </w:r>
    </w:p>
    <w:bookmarkStart w:id="23" w:name="X1428ec1d1885feb992205144a5c6ed055eb01cb"/>
    <w:p>
      <w:pPr>
        <w:pStyle w:val="Heading4"/>
      </w:pPr>
      <w:r>
        <w:t xml:space="preserve">2.2.1. Material Inputs (Detailed Bill of Materials - BOM)</w:t>
      </w:r>
    </w:p>
    <w:p>
      <w:pPr>
        <w:pStyle w:val="FirstParagraph"/>
      </w:pPr>
      <w:r>
        <w:t xml:space="preserve">The following detailed Bill of Materials (BOM) for</w:t>
      </w:r>
      <w:r>
        <w:t xml:space="preserve"> </w:t>
      </w:r>
      <w:r>
        <w:rPr>
          <w:bCs/>
          <w:b/>
        </w:rPr>
        <w:t xml:space="preserve">vpfxyhihiv</w:t>
      </w:r>
      <w:r>
        <w:t xml:space="preserve"> </w:t>
      </w:r>
      <w:r>
        <w:t xml:space="preserve">was used for high-accuracy material impact calculation:</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M1</w:t>
            </w:r>
          </w:p>
        </w:tc>
        <w:tc>
          <w:tcPr/>
          <w:p>
            <w:pPr>
              <w:pStyle w:val="Compact"/>
              <w:jc w:val="left"/>
            </w:pPr>
            <w:r>
              <w:t xml:space="preserve">ABS Plastic Casing</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2.80</w:t>
            </w:r>
          </w:p>
        </w:tc>
        <w:tc>
          <w:tcPr/>
          <w:p>
            <w:pPr>
              <w:pStyle w:val="Compact"/>
              <w:jc w:val="left"/>
            </w:pPr>
            <w:r>
              <w:t xml:space="preserve">1.40</w:t>
            </w:r>
          </w:p>
        </w:tc>
      </w:tr>
      <w:tr>
        <w:tc>
          <w:tcPr/>
          <w:p>
            <w:pPr>
              <w:pStyle w:val="Compact"/>
              <w:jc w:val="left"/>
            </w:pPr>
            <w:r>
              <w:t xml:space="preserve">M2</w:t>
            </w:r>
          </w:p>
        </w:tc>
        <w:tc>
          <w:tcPr/>
          <w:p>
            <w:pPr>
              <w:pStyle w:val="Compact"/>
              <w:jc w:val="left"/>
            </w:pPr>
            <w:r>
              <w:t xml:space="preserve">Recycled Aluminum Frame</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0.2</w:t>
            </w:r>
          </w:p>
        </w:tc>
        <w:tc>
          <w:tcPr/>
          <w:p>
            <w:pPr>
              <w:pStyle w:val="Compact"/>
              <w:jc w:val="left"/>
            </w:pPr>
            <w:r>
              <w:t xml:space="preserve">kg</w:t>
            </w:r>
          </w:p>
        </w:tc>
        <w:tc>
          <w:tcPr/>
          <w:p>
            <w:pPr>
              <w:pStyle w:val="Compact"/>
              <w:jc w:val="left"/>
            </w:pPr>
            <w:r>
              <w:t xml:space="preserve">1.70</w:t>
            </w:r>
          </w:p>
        </w:tc>
        <w:tc>
          <w:tcPr/>
          <w:p>
            <w:pPr>
              <w:pStyle w:val="Compact"/>
              <w:jc w:val="left"/>
            </w:pPr>
            <w:r>
              <w:t xml:space="preserve">0.34</w:t>
            </w:r>
          </w:p>
        </w:tc>
      </w:tr>
      <w:tr>
        <w:tc>
          <w:tcPr/>
          <w:p>
            <w:pPr>
              <w:pStyle w:val="Compact"/>
              <w:jc w:val="left"/>
            </w:pPr>
            <w:r>
              <w:t xml:space="preserve">M3</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4.50</w:t>
            </w:r>
          </w:p>
        </w:tc>
        <w:tc>
          <w:tcPr/>
          <w:p>
            <w:pPr>
              <w:pStyle w:val="Compact"/>
              <w:jc w:val="left"/>
            </w:pPr>
            <w:r>
              <w:t xml:space="preserve">0.45</w:t>
            </w:r>
          </w:p>
        </w:tc>
      </w:tr>
      <w:tr>
        <w:tc>
          <w:tcPr/>
          <w:p>
            <w:pPr>
              <w:pStyle w:val="Compact"/>
              <w:jc w:val="left"/>
            </w:pPr>
            <w:r>
              <w:t xml:space="preserve">M4</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0.08</w:t>
            </w:r>
          </w:p>
        </w:tc>
        <w:tc>
          <w:tcPr/>
          <w:p>
            <w:pPr>
              <w:pStyle w:val="Compact"/>
              <w:jc w:val="left"/>
            </w:pPr>
            <w:r>
              <w:t xml:space="preserve">kg</w:t>
            </w:r>
          </w:p>
        </w:tc>
        <w:tc>
          <w:tcPr/>
          <w:p>
            <w:pPr>
              <w:pStyle w:val="Compact"/>
              <w:jc w:val="left"/>
            </w:pPr>
            <w:r>
              <w:t xml:space="preserve">60.00</w:t>
            </w:r>
          </w:p>
        </w:tc>
        <w:tc>
          <w:tcPr/>
          <w:p>
            <w:pPr>
              <w:pStyle w:val="Compact"/>
              <w:jc w:val="left"/>
            </w:pPr>
            <w:r>
              <w:t xml:space="preserve">4.80</w:t>
            </w:r>
          </w:p>
        </w:tc>
      </w:tr>
      <w:tr>
        <w:tc>
          <w:tcPr/>
          <w:p>
            <w:pPr>
              <w:pStyle w:val="Compact"/>
              <w:jc w:val="left"/>
            </w:pPr>
            <w:r>
              <w:t xml:space="preserve">M5</w:t>
            </w:r>
          </w:p>
        </w:tc>
        <w:tc>
          <w:tcPr/>
          <w:p>
            <w:pPr>
              <w:pStyle w:val="Compact"/>
              <w:jc w:val="left"/>
            </w:pPr>
            <w:r>
              <w:t xml:space="preserve">Lithium-ion Battery Cell</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kg</w:t>
            </w:r>
          </w:p>
        </w:tc>
        <w:tc>
          <w:tcPr/>
          <w:p>
            <w:pPr>
              <w:pStyle w:val="Compact"/>
              <w:jc w:val="left"/>
            </w:pPr>
            <w:r>
              <w:t xml:space="preserve">25.00</w:t>
            </w:r>
          </w:p>
        </w:tc>
        <w:tc>
          <w:tcPr/>
          <w:p>
            <w:pPr>
              <w:pStyle w:val="Compact"/>
              <w:jc w:val="left"/>
            </w:pPr>
            <w:r>
              <w:t xml:space="preserve">2.50</w:t>
            </w:r>
          </w:p>
        </w:tc>
      </w:tr>
      <w:tr>
        <w:tc>
          <w:tcPr/>
          <w:p>
            <w:pPr>
              <w:pStyle w:val="Compact"/>
              <w:jc w:val="left"/>
            </w:pPr>
            <w:r>
              <w:t xml:space="preserve">M6</w:t>
            </w:r>
          </w:p>
        </w:tc>
        <w:tc>
          <w:tcPr/>
          <w:p>
            <w:pPr>
              <w:pStyle w:val="Compact"/>
              <w:jc w:val="left"/>
            </w:pPr>
            <w:r>
              <w:t xml:space="preserve">Cardboard Packaging</w:t>
            </w:r>
          </w:p>
        </w:tc>
        <w:tc>
          <w:tcPr/>
          <w:p>
            <w:pPr>
              <w:pStyle w:val="Compact"/>
              <w:jc w:val="left"/>
            </w:pPr>
            <w:r>
              <w:t xml:space="preserve">Packaging</w:t>
            </w:r>
          </w:p>
        </w:tc>
        <w:tc>
          <w:tcPr/>
          <w:p>
            <w:pPr>
              <w:pStyle w:val="Compact"/>
              <w:jc w:val="left"/>
            </w:pPr>
            <w:r>
              <w:t xml:space="preserve">Pulping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0.80</w:t>
            </w:r>
          </w:p>
        </w:tc>
        <w:tc>
          <w:tcPr/>
          <w:p>
            <w:pPr>
              <w:pStyle w:val="Compact"/>
              <w:jc w:val="left"/>
            </w:pPr>
            <w:r>
              <w:t xml:space="preserve">0.04</w:t>
            </w:r>
          </w:p>
        </w:tc>
      </w:tr>
      <w:tr>
        <w:tc>
          <w:tcPr>
            <w:gridSpan w:val="7"/>
          </w:tcPr>
          <w:p>
            <w:pPr>
              <w:pStyle w:val="Compact"/>
              <w:jc w:val="right"/>
            </w:pPr>
            <w:r>
              <w:rPr>
                <w:bCs/>
                <w:b/>
              </w:rPr>
              <w:t xml:space="preserve">Total Material Weight (kg):</w:t>
            </w:r>
          </w:p>
        </w:tc>
        <w:tc>
          <w:tcPr/>
          <w:p>
            <w:pPr>
              <w:pStyle w:val="Compact"/>
              <w:jc w:val="left"/>
            </w:pPr>
            <w:r>
              <w:t xml:space="preserve">1.03</w:t>
            </w:r>
          </w:p>
        </w:tc>
      </w:tr>
      <w:tr>
        <w:tc>
          <w:tcPr>
            <w:gridSpan w:val="7"/>
          </w:tcPr>
          <w:p>
            <w:pPr>
              <w:pStyle w:val="Compact"/>
              <w:jc w:val="right"/>
            </w:pPr>
            <w:r>
              <w:rPr>
                <w:bCs/>
                <w:b/>
              </w:rPr>
              <w:t xml:space="preserve">Total Material Emissions (kgCO2e):</w:t>
            </w:r>
          </w:p>
        </w:tc>
        <w:tc>
          <w:tcPr/>
          <w:p>
            <w:pPr>
              <w:pStyle w:val="Compact"/>
              <w:jc w:val="left"/>
            </w:pPr>
            <w:r>
              <w:rPr>
                <w:bCs/>
                <w:b/>
              </w:rPr>
              <w:t xml:space="preserve">9.53</w:t>
            </w:r>
          </w:p>
        </w:tc>
      </w:tr>
    </w:tbl>
    <w:bookmarkEnd w:id="23"/>
    <w:bookmarkStart w:id="24" w:name="energy-inputs-production-phase"/>
    <w:p>
      <w:pPr>
        <w:pStyle w:val="Heading4"/>
      </w:pPr>
      <w:r>
        <w:t xml:space="preserve">2.2.2. Energy Inputs (Production Phase)</w:t>
      </w:r>
    </w:p>
    <w:p>
      <w:pPr>
        <w:numPr>
          <w:ilvl w:val="0"/>
          <w:numId w:val="1003"/>
        </w:numPr>
        <w:pStyle w:val="Compact"/>
      </w:pPr>
      <w:r>
        <w:rPr>
          <w:bCs/>
          <w:b/>
        </w:rPr>
        <w:t xml:space="preserve">Energy Intensity (kWh/unit):</w:t>
      </w:r>
      <w:r>
        <w:t xml:space="preserve"> </w:t>
      </w:r>
      <w:r>
        <w:t xml:space="preserve">4.0 kWh/unit.</w:t>
      </w:r>
    </w:p>
    <w:p>
      <w:pPr>
        <w:numPr>
          <w:ilvl w:val="0"/>
          <w:numId w:val="1003"/>
        </w:numPr>
        <w:pStyle w:val="Compact"/>
      </w:pPr>
      <w:r>
        <w:rPr>
          <w:bCs/>
          <w:b/>
        </w:rPr>
        <w:t xml:space="preserve">Renewable Energy Usage:</w:t>
      </w:r>
      <w:r>
        <w:t xml:space="preserve"> </w:t>
      </w:r>
      <w:r>
        <w:t xml:space="preserve">60%. This indicates that 60% of the electricity consumed in the production facility is sourced from renewable energy, significantly reducing the carbon intensity of the production phase.</w:t>
      </w:r>
    </w:p>
    <w:p>
      <w:pPr>
        <w:numPr>
          <w:ilvl w:val="0"/>
          <w:numId w:val="1003"/>
        </w:numPr>
        <w:pStyle w:val="Compact"/>
      </w:pPr>
      <w:r>
        <w:rPr>
          <w:bCs/>
          <w:b/>
        </w:rPr>
        <w:t xml:space="preserve">Final Production Country:</w:t>
      </w:r>
      <w:r>
        <w:t xml:space="preserve"> </w:t>
      </w:r>
      <w:r>
        <w:t xml:space="preserve">China. The average electricity grid emission factor for China is estimated at 0.58 kgCO2e/kWh.</w:t>
      </w:r>
    </w:p>
    <w:bookmarkEnd w:id="24"/>
    <w:bookmarkStart w:id="25" w:name="transport-inputs-supply-chain-analysis"/>
    <w:p>
      <w:pPr>
        <w:pStyle w:val="Heading4"/>
      </w:pPr>
      <w:r>
        <w:t xml:space="preserve">2.2.3. Transport Inputs (Supply Chain Analysis)</w:t>
      </w:r>
    </w:p>
    <w:p>
      <w:pPr>
        <w:numPr>
          <w:ilvl w:val="0"/>
          <w:numId w:val="1004"/>
        </w:numPr>
        <w:pStyle w:val="Compact"/>
      </w:pPr>
      <w:r>
        <w:rPr>
          <w:bCs/>
          <w:b/>
        </w:rPr>
        <w:t xml:space="preserve">Upstream Transportation (Materials to Factory):</w:t>
      </w:r>
    </w:p>
    <w:p>
      <w:pPr>
        <w:numPr>
          <w:ilvl w:val="1"/>
          <w:numId w:val="1005"/>
        </w:numPr>
        <w:pStyle w:val="Compact"/>
      </w:pPr>
      <w:r>
        <w:rPr>
          <w:bCs/>
          <w:b/>
        </w:rPr>
        <w:t xml:space="preserve">Assumed Transport Mode:</w:t>
      </w:r>
      <w:r>
        <w:t xml:space="preserve"> </w:t>
      </w:r>
      <w:r>
        <w:t xml:space="preserve">Road Freight (Heavy Goods Vehicle - HGV)</w:t>
      </w:r>
    </w:p>
    <w:p>
      <w:pPr>
        <w:numPr>
          <w:ilvl w:val="1"/>
          <w:numId w:val="1005"/>
        </w:numPr>
        <w:pStyle w:val="Compact"/>
      </w:pPr>
      <w:r>
        <w:rPr>
          <w:bCs/>
          <w:b/>
        </w:rPr>
        <w:t xml:space="preserve">Assumed Transport Distance (sqjntlprug):</w:t>
      </w:r>
      <w:r>
        <w:t xml:space="preserve"> </w:t>
      </w:r>
      <w:r>
        <w:t xml:space="preserve">5000 km (average for European suppliers to China manufacturing).</w:t>
      </w:r>
    </w:p>
    <w:p>
      <w:pPr>
        <w:numPr>
          <w:ilvl w:val="1"/>
          <w:numId w:val="1005"/>
        </w:numPr>
        <w:pStyle w:val="Compact"/>
      </w:pPr>
      <w:r>
        <w:rPr>
          <w:bCs/>
          <w:b/>
        </w:rPr>
        <w:t xml:space="preserve">Assumed Emission Factor:</w:t>
      </w:r>
      <w:r>
        <w:t xml:space="preserve"> </w:t>
      </w:r>
      <w:r>
        <w:t xml:space="preserve">0.08 kgCO2e/tonne-km.</w:t>
      </w:r>
    </w:p>
    <w:p>
      <w:pPr>
        <w:numPr>
          <w:ilvl w:val="1"/>
          <w:numId w:val="1005"/>
        </w:numPr>
        <w:pStyle w:val="Compact"/>
      </w:pPr>
      <w:r>
        <w:rPr>
          <w:bCs/>
          <w:b/>
        </w:rPr>
        <w:t xml:space="preserve">Total Product Weight for Transport:</w:t>
      </w:r>
      <w:r>
        <w:t xml:space="preserve"> </w:t>
      </w:r>
      <w:r>
        <w:t xml:space="preserve">1.03 kg (from BOM).</w:t>
      </w:r>
    </w:p>
    <w:p>
      <w:pPr>
        <w:numPr>
          <w:ilvl w:val="0"/>
          <w:numId w:val="1004"/>
        </w:numPr>
        <w:pStyle w:val="Compact"/>
      </w:pPr>
      <w:r>
        <w:rPr>
          <w:bCs/>
          <w:b/>
        </w:rPr>
        <w:t xml:space="preserve">Downstream Transportation (Factory to Consumer/Distribution, Last-Mile):</w:t>
      </w:r>
    </w:p>
    <w:p>
      <w:pPr>
        <w:numPr>
          <w:ilvl w:val="1"/>
          <w:numId w:val="1006"/>
        </w:numPr>
        <w:pStyle w:val="Compact"/>
      </w:pPr>
      <w:r>
        <w:rPr>
          <w:bCs/>
          <w:b/>
        </w:rPr>
        <w:t xml:space="preserve">Assumed Transport Mode:</w:t>
      </w:r>
      <w:r>
        <w:t xml:space="preserve"> </w:t>
      </w:r>
      <w:r>
        <w:t xml:space="preserve">Parcel Delivery (Van) for Last-Mile Delivery.</w:t>
      </w:r>
    </w:p>
    <w:p>
      <w:pPr>
        <w:numPr>
          <w:ilvl w:val="1"/>
          <w:numId w:val="1006"/>
        </w:numPr>
        <w:pStyle w:val="Compact"/>
      </w:pPr>
      <w:r>
        <w:rPr>
          <w:bCs/>
          <w:b/>
        </w:rPr>
        <w:t xml:space="preserve">Assumed Last-Mile Distance:</w:t>
      </w:r>
      <w:r>
        <w:t xml:space="preserve"> </w:t>
      </w:r>
      <w:r>
        <w:t xml:space="preserve">50 km (average for local distribution).</w:t>
      </w:r>
    </w:p>
    <w:p>
      <w:pPr>
        <w:numPr>
          <w:ilvl w:val="1"/>
          <w:numId w:val="1006"/>
        </w:numPr>
        <w:pStyle w:val="Compact"/>
      </w:pPr>
      <w:r>
        <w:rPr>
          <w:bCs/>
          <w:b/>
        </w:rPr>
        <w:t xml:space="preserve">Assumed Emission Factor:</w:t>
      </w:r>
      <w:r>
        <w:t xml:space="preserve"> </w:t>
      </w:r>
      <w:r>
        <w:t xml:space="preserve">0.25 kgCO2e/km for a delivery van.</w:t>
      </w:r>
    </w:p>
    <w:bookmarkEnd w:id="25"/>
    <w:bookmarkStart w:id="26" w:name="use-phase-inputs"/>
    <w:p>
      <w:pPr>
        <w:pStyle w:val="Heading4"/>
      </w:pPr>
      <w:r>
        <w:t xml:space="preserve">2.2.4. Use Phase Inputs</w:t>
      </w:r>
    </w:p>
    <w:p>
      <w:pPr>
        <w:numPr>
          <w:ilvl w:val="0"/>
          <w:numId w:val="1007"/>
        </w:numPr>
        <w:pStyle w:val="Compact"/>
      </w:pPr>
      <w:r>
        <w:rPr>
          <w:bCs/>
          <w:b/>
        </w:rPr>
        <w:t xml:space="preserve">Product Lifespan (wjnotetizm):</w:t>
      </w:r>
      <w:r>
        <w:t xml:space="preserve"> </w:t>
      </w:r>
      <w:r>
        <w:t xml:space="preserve">3 years.</w:t>
      </w:r>
    </w:p>
    <w:p>
      <w:pPr>
        <w:numPr>
          <w:ilvl w:val="0"/>
          <w:numId w:val="1007"/>
        </w:numPr>
        <w:pStyle w:val="Compact"/>
      </w:pPr>
      <w:r>
        <w:rPr>
          <w:bCs/>
          <w:b/>
        </w:rPr>
        <w:t xml:space="preserve">Energy Consumption in Use (glslovrxvr):</w:t>
      </w:r>
      <w:r>
        <w:t xml:space="preserve"> </w:t>
      </w:r>
      <w:r>
        <w:t xml:space="preserve">20 kWh/year.</w:t>
      </w:r>
    </w:p>
    <w:p>
      <w:pPr>
        <w:numPr>
          <w:ilvl w:val="0"/>
          <w:numId w:val="1007"/>
        </w:numPr>
        <w:pStyle w:val="Compact"/>
      </w:pPr>
      <w:r>
        <w:rPr>
          <w:bCs/>
          <w:b/>
        </w:rPr>
        <w:t xml:space="preserve">Geographic Scope for Use Phase:</w:t>
      </w:r>
      <w:r>
        <w:t xml:space="preserve"> </w:t>
      </w:r>
      <w:r>
        <w:t xml:space="preserve">Europe Focused. The average electricity grid emission factor for Europe is estimated at 0.25 kgCO2e/kWh (based on recent data showing decarbonization trends).</w:t>
      </w:r>
    </w:p>
    <w:bookmarkEnd w:id="26"/>
    <w:bookmarkStart w:id="27" w:name="end-of-life-eol-scenarios"/>
    <w:p>
      <w:pPr>
        <w:pStyle w:val="Heading4"/>
      </w:pPr>
      <w:r>
        <w:t xml:space="preserve">2.2.5. End-of-Life (EoL) Scenarios</w:t>
      </w:r>
    </w:p>
    <w:p>
      <w:pPr>
        <w:numPr>
          <w:ilvl w:val="0"/>
          <w:numId w:val="1008"/>
        </w:numPr>
        <w:pStyle w:val="Compact"/>
      </w:pPr>
      <w:r>
        <w:rPr>
          <w:bCs/>
          <w:b/>
        </w:rPr>
        <w:t xml:space="preserve">Recyclability Percentage (ykmhrfsizp):</w:t>
      </w:r>
      <w:r>
        <w:t xml:space="preserve"> </w:t>
      </w:r>
      <w:r>
        <w:t xml:space="preserve">80%. This indicates a high potential for materials recovery at the end of the product\'s life.</w:t>
      </w:r>
    </w:p>
    <w:p>
      <w:pPr>
        <w:numPr>
          <w:ilvl w:val="0"/>
          <w:numId w:val="1008"/>
        </w:numPr>
        <w:pStyle w:val="Compact"/>
      </w:pPr>
      <w:r>
        <w:rPr>
          <w:bCs/>
          <w:b/>
        </w:rPr>
        <w:t xml:space="preserve">Circular/Take-back Programs (mqdgmistoj):</w:t>
      </w:r>
      <w:r>
        <w:t xml:space="preserve"> </w:t>
      </w:r>
      <w:r>
        <w:t xml:space="preserve">Acknowledged. The presence of such programs supports higher actual recycling rates and facilitates responsible end-of-life management, potentially leading to avoided emissions.</w:t>
      </w:r>
    </w:p>
    <w:p>
      <w:pPr>
        <w:numPr>
          <w:ilvl w:val="0"/>
          <w:numId w:val="1008"/>
        </w:numPr>
        <w:pStyle w:val="Compact"/>
      </w:pPr>
      <w:r>
        <w:rPr>
          <w:bCs/>
          <w:b/>
        </w:rPr>
        <w:t xml:space="preserve">Total Product Weight for EoL:</w:t>
      </w:r>
      <w:r>
        <w:t xml:space="preserve"> </w:t>
      </w:r>
      <w:r>
        <w:t xml:space="preserve">1.03 kg.</w:t>
      </w:r>
    </w:p>
    <w:bookmarkEnd w:id="27"/>
    <w:bookmarkEnd w:id="28"/>
    <w:bookmarkStart w:id="36" w:name="step-4-calculate-emissions"/>
    <w:p>
      <w:pPr>
        <w:pStyle w:val="Heading3"/>
      </w:pPr>
      <w:r>
        <w:t xml:space="preserve">2.3. Step 4: Calculate Emissions</w:t>
      </w:r>
    </w:p>
    <w:p>
      <w:pPr>
        <w:pStyle w:val="FirstParagraph"/>
      </w:pPr>
      <w:r>
        <w:t xml:space="preserve">Emissions are calculated by multiplying activity data by relevant emission factors. The total carbon footprint is expressed in kilograms of carbon dioxide equivalent (kgCO2e).</w:t>
      </w:r>
    </w:p>
    <w:bookmarkStart w:id="29" w:name="scope-1-emissions-direct-emissions"/>
    <w:p>
      <w:pPr>
        <w:pStyle w:val="Heading4"/>
      </w:pPr>
      <w:r>
        <w:t xml:space="preserve">2.3.1. Scope 1 Emissions (Direct Emissions)</w:t>
      </w:r>
    </w:p>
    <w:p>
      <w:pPr>
        <w:pStyle w:val="FirstParagraph"/>
      </w:pPr>
      <w:r>
        <w:t xml:space="preserve">For a product carbon footprint with a "factory_gate" system boundary and a focus on purchased inputs, direct Scope 1 emissions (e.g., from on-site fuel combustion owned or controlled by upshpqdzng for this product) are assumed to be negligible or are inherently accounted for within the purchased energy (Scope 2) and material production (Scope 3) categories of its suppliers. Therefore, no significant direct Scope 1 emissions are attributed to the product itself at this boundary. For a broader corporate inventory, these would be relevant. However, within the product\'s boundary, direct fuel consumption specific to the product manufacturing, if any, is assumed to be captured through purchased energy or other Scope 3 upstream categories.</w:t>
      </w:r>
    </w:p>
    <w:bookmarkEnd w:id="29"/>
    <w:bookmarkStart w:id="30" w:name="scope-2-emissions-purchased-electricity"/>
    <w:p>
      <w:pPr>
        <w:pStyle w:val="Heading4"/>
      </w:pPr>
      <w:r>
        <w:t xml:space="preserve">2.3.2. Scope 2 Emissions (Purchased Electricity)</w:t>
      </w:r>
    </w:p>
    <w:p>
      <w:pPr>
        <w:pStyle w:val="FirstParagraph"/>
      </w:pPr>
      <w:r>
        <w:t xml:space="preserve">These emissions arise from the generation of purchased electricity consumed in the manufacturing process of vpfxyhihiv.</w:t>
      </w:r>
    </w:p>
    <w:p>
      <w:pPr>
        <w:numPr>
          <w:ilvl w:val="0"/>
          <w:numId w:val="1009"/>
        </w:numPr>
        <w:pStyle w:val="Compact"/>
      </w:pPr>
      <w:r>
        <w:rPr>
          <w:bCs/>
          <w:b/>
        </w:rPr>
        <w:t xml:space="preserve">Total Energy Consumption:</w:t>
      </w:r>
      <w:r>
        <w:t xml:space="preserve"> </w:t>
      </w:r>
      <w:r>
        <w:t xml:space="preserve">4.0 kWh/unit</w:t>
      </w:r>
    </w:p>
    <w:p>
      <w:pPr>
        <w:numPr>
          <w:ilvl w:val="0"/>
          <w:numId w:val="1009"/>
        </w:numPr>
        <w:pStyle w:val="Compact"/>
      </w:pPr>
      <w:r>
        <w:rPr>
          <w:bCs/>
          <w:b/>
        </w:rPr>
        <w:t xml:space="preserve">Non-Renewable Energy Percentage:</w:t>
      </w:r>
      <w:r>
        <w:t xml:space="preserve"> </w:t>
      </w:r>
      <w:r>
        <w:t xml:space="preserve">(100% - 60% Renewable Usage) = 40%</w:t>
      </w:r>
    </w:p>
    <w:p>
      <w:pPr>
        <w:numPr>
          <w:ilvl w:val="0"/>
          <w:numId w:val="1009"/>
        </w:numPr>
        <w:pStyle w:val="Compact"/>
      </w:pPr>
      <w:r>
        <w:rPr>
          <w:bCs/>
          <w:b/>
        </w:rPr>
        <w:t xml:space="preserve">China Grid Emission Factor:</w:t>
      </w:r>
      <w:r>
        <w:t xml:space="preserve"> </w:t>
      </w:r>
      <w:r>
        <w:t xml:space="preserve">0.58 kgCO2e/kWh</w:t>
      </w:r>
    </w:p>
    <w:p>
      <w:pPr>
        <w:numPr>
          <w:ilvl w:val="0"/>
          <w:numId w:val="1009"/>
        </w:numPr>
        <w:pStyle w:val="Compact"/>
      </w:pPr>
      <w:r>
        <w:rPr>
          <w:bCs/>
          <w:b/>
        </w:rPr>
        <w:t xml:space="preserve">Scope 2 Emissions =</w:t>
      </w:r>
      <w:r>
        <w:t xml:space="preserve"> </w:t>
      </w:r>
      <w:r>
        <w:t xml:space="preserve">4.0 kWh/unit * 0.40 * 0.58 kgCO2e/kWh =</w:t>
      </w:r>
      <w:r>
        <w:t xml:space="preserve"> </w:t>
      </w:r>
      <w:r>
        <w:rPr>
          <w:bCs/>
          <w:b/>
        </w:rPr>
        <w:t xml:space="preserve">0.928 kgCO2e/unit</w:t>
      </w:r>
    </w:p>
    <w:bookmarkEnd w:id="30"/>
    <w:bookmarkStart w:id="31" w:name="scope-3-emissions-value-chain-emissions"/>
    <w:p>
      <w:pPr>
        <w:pStyle w:val="Heading4"/>
      </w:pPr>
      <w:r>
        <w:t xml:space="preserve">2.3.3. Scope 3 Emissions (Value Chain Emissions)</w:t>
      </w:r>
    </w:p>
    <w:p>
      <w:pPr>
        <w:pStyle w:val="FirstParagraph"/>
      </w:pPr>
      <w:r>
        <w:t xml:space="preserve">Scope 3 emissions are crucial for a comprehensive PCF, covering all indirect emissions in the value chain. The GHG Protocol\'s 2026 updates emphasize at least 95% coverage for Scope 3 reporting. Our analysis strives for comprehensive coverage across relevant categories.</w:t>
      </w:r>
    </w:p>
    <w:bookmarkEnd w:id="31"/>
    <w:bookmarkStart w:id="32" w:name="upstream-emissions-categories-1-8"/>
    <w:p>
      <w:pPr>
        <w:pStyle w:val="Heading4"/>
      </w:pPr>
      <w:r>
        <w:t xml:space="preserve">2.3.3.1. Upstream Emissions (Categories 1-8)</w:t>
      </w:r>
    </w:p>
    <w:p>
      <w:pPr>
        <w:numPr>
          <w:ilvl w:val="0"/>
          <w:numId w:val="1010"/>
        </w:numPr>
        <w:pStyle w:val="Compact"/>
      </w:pPr>
      <w:r>
        <w:rPr>
          <w:bCs/>
          <w:b/>
        </w:rPr>
        <w:t xml:space="preserve">Category 1: Purchased Goods and Services (Materials)</w:t>
      </w:r>
    </w:p>
    <w:p>
      <w:pPr>
        <w:numPr>
          <w:ilvl w:val="1"/>
          <w:numId w:val="1011"/>
        </w:numPr>
        <w:pStyle w:val="Compact"/>
      </w:pPr>
      <w:r>
        <w:rPr>
          <w:bCs/>
          <w:b/>
        </w:rPr>
        <w:t xml:space="preserve">Total Material Emissions:</w:t>
      </w:r>
      <w:r>
        <w:t xml:space="preserve"> </w:t>
      </w:r>
      <w:r>
        <w:t xml:space="preserve">9.53 kgCO2e/unit (calculated from BOM)</w:t>
      </w:r>
    </w:p>
    <w:p>
      <w:pPr>
        <w:numPr>
          <w:ilvl w:val="0"/>
          <w:numId w:val="1010"/>
        </w:numPr>
        <w:pStyle w:val="Compact"/>
      </w:pPr>
      <w:r>
        <w:rPr>
          <w:bCs/>
          <w:b/>
        </w:rPr>
        <w:t xml:space="preserve">Category 4: Upstream Transportation and Distribution</w:t>
      </w:r>
    </w:p>
    <w:p>
      <w:pPr>
        <w:numPr>
          <w:ilvl w:val="1"/>
          <w:numId w:val="1012"/>
        </w:numPr>
        <w:pStyle w:val="Compact"/>
      </w:pPr>
      <w:r>
        <w:rPr>
          <w:bCs/>
          <w:b/>
        </w:rPr>
        <w:t xml:space="preserve">Upstream Transport Emissions:</w:t>
      </w:r>
      <w:r>
        <w:t xml:space="preserve"> </w:t>
      </w:r>
      <w:r>
        <w:t xml:space="preserve">(1.03 kg / 1000 kg/tonne) * 5000 km * 0.08 kgCO2e/tonne-km = 0.412 kgCO2e/unit.</w:t>
      </w:r>
    </w:p>
    <w:p>
      <w:pPr>
        <w:numPr>
          <w:ilvl w:val="0"/>
          <w:numId w:val="1010"/>
        </w:numPr>
        <w:pStyle w:val="Compact"/>
      </w:pPr>
      <w:r>
        <w:rPr>
          <w:bCs/>
          <w:b/>
        </w:rPr>
        <w:t xml:space="preserve">Total Upstream Emissions =</w:t>
      </w:r>
      <w:r>
        <w:t xml:space="preserve"> </w:t>
      </w:r>
      <w:r>
        <w:t xml:space="preserve">9.53 kgCO2e (materials) + 0.412 kgCO2e (upstream transport) =</w:t>
      </w:r>
      <w:r>
        <w:t xml:space="preserve"> </w:t>
      </w:r>
      <w:r>
        <w:rPr>
          <w:bCs/>
          <w:b/>
        </w:rPr>
        <w:t xml:space="preserve">9.942 kgCO2e/unit</w:t>
      </w:r>
    </w:p>
    <w:bookmarkEnd w:id="32"/>
    <w:bookmarkStart w:id="33" w:name="downstream-emissions-categories-9-15"/>
    <w:p>
      <w:pPr>
        <w:pStyle w:val="Heading4"/>
      </w:pPr>
      <w:r>
        <w:t xml:space="preserve">2.3.3.2. Downstream Emissions (Categories 9-15)</w:t>
      </w:r>
    </w:p>
    <w:p>
      <w:pPr>
        <w:numPr>
          <w:ilvl w:val="0"/>
          <w:numId w:val="1013"/>
        </w:numPr>
        <w:pStyle w:val="Compact"/>
      </w:pPr>
      <w:r>
        <w:rPr>
          <w:bCs/>
          <w:b/>
        </w:rPr>
        <w:t xml:space="preserve">Category 9: Downstream Transportation and Distribution (Last-Mile Delivery)</w:t>
      </w:r>
    </w:p>
    <w:p>
      <w:pPr>
        <w:numPr>
          <w:ilvl w:val="1"/>
          <w:numId w:val="1014"/>
        </w:numPr>
        <w:pStyle w:val="Compact"/>
      </w:pPr>
      <w:r>
        <w:rPr>
          <w:bCs/>
          <w:b/>
        </w:rPr>
        <w:t xml:space="preserve">Last-Mile Delivery Emissions:</w:t>
      </w:r>
      <w:r>
        <w:t xml:space="preserve"> </w:t>
      </w:r>
      <w:r>
        <w:t xml:space="preserve">50 km * 0.25 kgCO2e/km = 12.5 kgCO2e/unit.</w:t>
      </w:r>
    </w:p>
    <w:p>
      <w:pPr>
        <w:numPr>
          <w:ilvl w:val="0"/>
          <w:numId w:val="1013"/>
        </w:numPr>
        <w:pStyle w:val="Compact"/>
      </w:pPr>
      <w:r>
        <w:rPr>
          <w:bCs/>
          <w:b/>
        </w:rPr>
        <w:t xml:space="preserve">Category 11: Use of Sold Products</w:t>
      </w:r>
    </w:p>
    <w:p>
      <w:pPr>
        <w:numPr>
          <w:ilvl w:val="1"/>
          <w:numId w:val="1015"/>
        </w:numPr>
        <w:pStyle w:val="Compact"/>
      </w:pPr>
      <w:r>
        <w:rPr>
          <w:bCs/>
          <w:b/>
        </w:rPr>
        <w:t xml:space="preserve">Annual Energy Consumption:</w:t>
      </w:r>
      <w:r>
        <w:t xml:space="preserve"> </w:t>
      </w:r>
      <w:r>
        <w:t xml:space="preserve">20 kWh/year</w:t>
      </w:r>
    </w:p>
    <w:p>
      <w:pPr>
        <w:numPr>
          <w:ilvl w:val="1"/>
          <w:numId w:val="1015"/>
        </w:numPr>
        <w:pStyle w:val="Compact"/>
      </w:pPr>
      <w:r>
        <w:rPr>
          <w:bCs/>
          <w:b/>
        </w:rPr>
        <w:t xml:space="preserve">Product Lifespan:</w:t>
      </w:r>
      <w:r>
        <w:t xml:space="preserve"> </w:t>
      </w:r>
      <w:r>
        <w:t xml:space="preserve">3 years</w:t>
      </w:r>
    </w:p>
    <w:p>
      <w:pPr>
        <w:numPr>
          <w:ilvl w:val="1"/>
          <w:numId w:val="1015"/>
        </w:numPr>
        <w:pStyle w:val="Compact"/>
      </w:pPr>
      <w:r>
        <w:rPr>
          <w:bCs/>
          <w:b/>
        </w:rPr>
        <w:t xml:space="preserve">Europe Grid Emission Factor:</w:t>
      </w:r>
      <w:r>
        <w:t xml:space="preserve"> </w:t>
      </w:r>
      <w:r>
        <w:t xml:space="preserve">0.25 kgCO2e/kWh</w:t>
      </w:r>
    </w:p>
    <w:p>
      <w:pPr>
        <w:numPr>
          <w:ilvl w:val="1"/>
          <w:numId w:val="1015"/>
        </w:numPr>
        <w:pStyle w:val="Compact"/>
      </w:pPr>
      <w:r>
        <w:rPr>
          <w:bCs/>
          <w:b/>
        </w:rPr>
        <w:t xml:space="preserve">Use Phase Emissions =</w:t>
      </w:r>
      <w:r>
        <w:t xml:space="preserve"> </w:t>
      </w:r>
      <w:r>
        <w:t xml:space="preserve">20 kWh/year * 3 years * 0.25 kgCO2e/kWh = 15.0 kgCO2e/unit.</w:t>
      </w:r>
    </w:p>
    <w:p>
      <w:pPr>
        <w:numPr>
          <w:ilvl w:val="0"/>
          <w:numId w:val="1013"/>
        </w:numPr>
        <w:pStyle w:val="Compact"/>
      </w:pPr>
      <w:r>
        <w:rPr>
          <w:bCs/>
          <w:b/>
        </w:rPr>
        <w:t xml:space="preserve">Category 12: End-of-Life Treatment of Sold Products</w:t>
      </w:r>
    </w:p>
    <w:p>
      <w:pPr>
        <w:numPr>
          <w:ilvl w:val="1"/>
          <w:numId w:val="1016"/>
        </w:numPr>
        <w:pStyle w:val="Compact"/>
      </w:pPr>
      <w:r>
        <w:rPr>
          <w:bCs/>
          <w:b/>
        </w:rPr>
        <w:t xml:space="preserve">Total Product Weight:</w:t>
      </w:r>
      <w:r>
        <w:t xml:space="preserve"> </w:t>
      </w:r>
      <w:r>
        <w:t xml:space="preserve">1.03 kg</w:t>
      </w:r>
    </w:p>
    <w:p>
      <w:pPr>
        <w:numPr>
          <w:ilvl w:val="1"/>
          <w:numId w:val="1016"/>
        </w:numPr>
        <w:pStyle w:val="Compact"/>
      </w:pPr>
      <w:r>
        <w:rPr>
          <w:bCs/>
          <w:b/>
        </w:rPr>
        <w:t xml:space="preserve">Recycled Portion (80%):</w:t>
      </w:r>
      <w:r>
        <w:t xml:space="preserve"> </w:t>
      </w:r>
      <w:r>
        <w:t xml:space="preserve">1.03 kg * 0.80 = 0.824 kg</w:t>
      </w:r>
    </w:p>
    <w:p>
      <w:pPr>
        <w:numPr>
          <w:ilvl w:val="1"/>
          <w:numId w:val="1016"/>
        </w:numPr>
        <w:pStyle w:val="Compact"/>
      </w:pPr>
      <w:r>
        <w:rPr>
          <w:bCs/>
          <w:b/>
        </w:rPr>
        <w:t xml:space="preserve">Disposed Portion (20%):</w:t>
      </w:r>
      <w:r>
        <w:t xml:space="preserve"> </w:t>
      </w:r>
      <w:r>
        <w:t xml:space="preserve">1.03 kg * 0.20 = 0.206 kg</w:t>
      </w:r>
    </w:p>
    <w:p>
      <w:pPr>
        <w:numPr>
          <w:ilvl w:val="1"/>
          <w:numId w:val="1016"/>
        </w:numPr>
        <w:pStyle w:val="Compact"/>
      </w:pPr>
      <w:r>
        <w:rPr>
          <w:bCs/>
          <w:b/>
        </w:rPr>
        <w:t xml:space="preserve">Recycling Credit:</w:t>
      </w:r>
      <w:r>
        <w:t xml:space="preserve"> </w:t>
      </w:r>
      <w:r>
        <w:t xml:space="preserve">0.824 kg * (-0.7 kgCO2e/kg) = -0.5768 kgCO2e (assumed credit for high recyclability facilitating material displacement).</w:t>
      </w:r>
    </w:p>
    <w:p>
      <w:pPr>
        <w:numPr>
          <w:ilvl w:val="1"/>
          <w:numId w:val="1016"/>
        </w:numPr>
        <w:pStyle w:val="Compact"/>
      </w:pPr>
      <w:r>
        <w:rPr>
          <w:bCs/>
          <w:b/>
        </w:rPr>
        <w:t xml:space="preserve">Disposal Emissions:</w:t>
      </w:r>
      <w:r>
        <w:t xml:space="preserve"> </w:t>
      </w:r>
      <w:r>
        <w:t xml:space="preserve">0.206 kg * (0.1 kgCO2e/kg) = 0.0206 kgCO2e (assumed for landfill/incineration).</w:t>
      </w:r>
    </w:p>
    <w:p>
      <w:pPr>
        <w:numPr>
          <w:ilvl w:val="1"/>
          <w:numId w:val="1016"/>
        </w:numPr>
        <w:pStyle w:val="Compact"/>
      </w:pPr>
      <w:r>
        <w:rPr>
          <w:bCs/>
          <w:b/>
        </w:rPr>
        <w:t xml:space="preserve">Net End-of-Life Emissions =</w:t>
      </w:r>
      <w:r>
        <w:t xml:space="preserve"> </w:t>
      </w:r>
      <w:r>
        <w:t xml:space="preserve">-0.5768 kgCO2e + 0.0206 kgCO2e =</w:t>
      </w:r>
      <w:r>
        <w:t xml:space="preserve"> </w:t>
      </w:r>
      <w:r>
        <w:rPr>
          <w:bCs/>
          <w:b/>
        </w:rPr>
        <w:t xml:space="preserve">-0.5562 kgCO2e/unit</w:t>
      </w:r>
      <w:r>
        <w:t xml:space="preserve"> </w:t>
      </w:r>
      <w:r>
        <w:t xml:space="preserve">(a net credit due to high recyclability).</w:t>
      </w:r>
    </w:p>
    <w:p>
      <w:pPr>
        <w:numPr>
          <w:ilvl w:val="0"/>
          <w:numId w:val="1013"/>
        </w:numPr>
        <w:pStyle w:val="Compact"/>
      </w:pPr>
      <w:r>
        <w:rPr>
          <w:bCs/>
          <w:b/>
        </w:rPr>
        <w:t xml:space="preserve">Total Downstream Emissions =</w:t>
      </w:r>
      <w:r>
        <w:t xml:space="preserve"> </w:t>
      </w:r>
      <w:r>
        <w:t xml:space="preserve">12.5 kgCO2e (delivery) + 15.0 kgCO2e (use phase) - 0.5562 kgCO2e (EoL credit) =</w:t>
      </w:r>
      <w:r>
        <w:t xml:space="preserve"> </w:t>
      </w:r>
      <w:r>
        <w:rPr>
          <w:bCs/>
          <w:b/>
        </w:rPr>
        <w:t xml:space="preserve">26.9438 kgCO2e/unit</w:t>
      </w:r>
    </w:p>
    <w:bookmarkEnd w:id="33"/>
    <w:bookmarkStart w:id="34" w:name="X504f4a86e01fdcfa46a4589bb1b5e0cfaad8629"/>
    <w:p>
      <w:pPr>
        <w:pStyle w:val="Heading4"/>
      </w:pPr>
      <w:r>
        <w:t xml:space="preserve">2.3.4. 2026 Land Sector and Removals (LSR) Standard Update</w:t>
      </w:r>
    </w:p>
    <w:p>
      <w:pPr>
        <w:pStyle w:val="FirstParagraph"/>
      </w:pPr>
      <w:r>
        <w:t xml:space="preserve">The GHG Protocol\'s Land Sector and Removals (LSR) Standard, released on January 30, 2026, and effective January 1, 2027, provides requirements and guidance for accounting for land-based emissions and CO2 removals. For</w:t>
      </w:r>
      <w:r>
        <w:t xml:space="preserve"> </w:t>
      </w:r>
      <w:r>
        <w:rPr>
          <w:bCs/>
          <w:b/>
        </w:rPr>
        <w:t xml:space="preserve">vpfxyhihiv</w:t>
      </w:r>
      <w:r>
        <w:t xml:space="preserve">, which is not a directly land-intensive product (e.g., agricultural or forestry product), the direct application of the LSR Standard might be limited. However, its principles inform the accounting for any land-use change impacts embedded in raw materials (e.g., bio-based plastics, if applicable, or materials with deforestation links) within Scope 3 Category 1 (Purchased Goods and Services). Should upshpqdzng engage in or procure materials from activities with significant land-use impacts or undertake carbon removal projects, these would need to be rigorously accounted for under the LSR Standard.</w:t>
      </w:r>
    </w:p>
    <w:bookmarkEnd w:id="34"/>
    <w:bookmarkStart w:id="35" w:name="total-product-carbon-footprint"/>
    <w:p>
      <w:pPr>
        <w:pStyle w:val="Heading4"/>
      </w:pPr>
      <w:r>
        <w:t xml:space="preserve">2.3.5. Total Product Carbon Footprint</w:t>
      </w:r>
    </w:p>
    <w:p>
      <w:pPr>
        <w:pStyle w:val="FirstParagraph"/>
      </w:pPr>
      <w:r>
        <w:t xml:space="preserve">The total cradle-to-grave PCF for one functional unit of</w:t>
      </w:r>
      <w:r>
        <w:t xml:space="preserve"> </w:t>
      </w:r>
      <w:r>
        <w:rPr>
          <w:bCs/>
          <w:b/>
        </w:rPr>
        <w:t xml:space="preserve">vpfxyhihiv</w:t>
      </w:r>
      <w:r>
        <w:t xml:space="preserve"> </w:t>
      </w:r>
      <w:r>
        <w:t xml:space="preserve">is the sum of Scope 2 and all relevant Scope 3 emissions:</w:t>
      </w:r>
    </w:p>
    <w:p>
      <w:pPr>
        <w:numPr>
          <w:ilvl w:val="0"/>
          <w:numId w:val="1017"/>
        </w:numPr>
        <w:pStyle w:val="Compact"/>
      </w:pPr>
      <w:r>
        <w:rPr>
          <w:bCs/>
          <w:b/>
        </w:rPr>
        <w:t xml:space="preserve">Scope 2 Emissions:</w:t>
      </w:r>
      <w:r>
        <w:t xml:space="preserve"> </w:t>
      </w:r>
      <w:r>
        <w:t xml:space="preserve">0.928 kgCO2e</w:t>
      </w:r>
    </w:p>
    <w:p>
      <w:pPr>
        <w:numPr>
          <w:ilvl w:val="0"/>
          <w:numId w:val="1017"/>
        </w:numPr>
        <w:pStyle w:val="Compact"/>
      </w:pPr>
      <w:r>
        <w:rPr>
          <w:bCs/>
          <w:b/>
        </w:rPr>
        <w:t xml:space="preserve">Scope 3 Upstream Emissions:</w:t>
      </w:r>
      <w:r>
        <w:t xml:space="preserve"> </w:t>
      </w:r>
      <w:r>
        <w:t xml:space="preserve">9.942 kgCO2e</w:t>
      </w:r>
    </w:p>
    <w:p>
      <w:pPr>
        <w:numPr>
          <w:ilvl w:val="0"/>
          <w:numId w:val="1017"/>
        </w:numPr>
        <w:pStyle w:val="Compact"/>
      </w:pPr>
      <w:r>
        <w:rPr>
          <w:bCs/>
          <w:b/>
        </w:rPr>
        <w:t xml:space="preserve">Scope 3 Downstream Emissions:</w:t>
      </w:r>
      <w:r>
        <w:t xml:space="preserve"> </w:t>
      </w:r>
      <w:r>
        <w:t xml:space="preserve">26.9438 kgCO2e</w:t>
      </w:r>
    </w:p>
    <w:p>
      <w:pPr>
        <w:numPr>
          <w:ilvl w:val="0"/>
          <w:numId w:val="1017"/>
        </w:numPr>
        <w:pStyle w:val="Compact"/>
      </w:pPr>
      <w:r>
        <w:rPr>
          <w:bCs/>
          <w:b/>
        </w:rPr>
        <w:t xml:space="preserve">Total PCF =</w:t>
      </w:r>
      <w:r>
        <w:t xml:space="preserve"> </w:t>
      </w:r>
      <w:r>
        <w:t xml:space="preserve">0.928 + 9.942 + 26.9438 =</w:t>
      </w:r>
      <w:r>
        <w:t xml:space="preserve"> </w:t>
      </w:r>
      <w:r>
        <w:rPr>
          <w:bCs/>
          <w:b/>
        </w:rPr>
        <w:t xml:space="preserve">37.8138 kgCO2e/unit</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(kgCO2e/unit)</w:t>
            </w:r>
          </w:p>
        </w:tc>
        <w:tc>
          <w:tcPr/>
          <w:p>
            <w:pPr>
              <w:pStyle w:val="Compact"/>
              <w:jc w:val="left"/>
            </w:pPr>
            <w:r>
              <w:t xml:space="preserve">Percentage of Total PCF</w:t>
            </w:r>
          </w:p>
        </w:tc>
      </w:tr>
      <w:tr>
        <w:tc>
          <w:tcPr/>
          <w:p>
            <w:pPr>
              <w:pStyle w:val="Compact"/>
              <w:jc w:val="left"/>
            </w:pPr>
            <w:r>
              <w:t xml:space="preserve">Materials (Purchased Goods &amp; Services)</w:t>
            </w:r>
          </w:p>
        </w:tc>
        <w:tc>
          <w:tcPr/>
          <w:p>
            <w:pPr>
              <w:pStyle w:val="Compact"/>
              <w:jc w:val="left"/>
            </w:pPr>
            <w:r>
              <w:t xml:space="preserve">Scope 3, Cat. 1</w:t>
            </w:r>
          </w:p>
        </w:tc>
        <w:tc>
          <w:tcPr/>
          <w:p>
            <w:pPr>
              <w:pStyle w:val="Compact"/>
              <w:jc w:val="left"/>
            </w:pPr>
            <w:r>
              <w:t xml:space="preserve">9.530</w:t>
            </w:r>
          </w:p>
        </w:tc>
        <w:tc>
          <w:tcPr/>
          <w:p>
            <w:pPr>
              <w:pStyle w:val="Compact"/>
              <w:jc w:val="left"/>
            </w:pPr>
            <w:r>
              <w:t xml:space="preserve">25.20%</w:t>
            </w:r>
          </w:p>
        </w:tc>
      </w:tr>
      <w:tr>
        <w:tc>
          <w:tcPr/>
          <w:p>
            <w:pPr>
              <w:pStyle w:val="Compact"/>
              <w:jc w:val="left"/>
            </w:pPr>
            <w:r>
              <w:t xml:space="preserve">Production (Purchased Electricity)</w:t>
            </w:r>
          </w:p>
        </w:tc>
        <w:tc>
          <w:tcPr/>
          <w:p>
            <w:pPr>
              <w:pStyle w:val="Compact"/>
              <w:jc w:val="left"/>
            </w:pPr>
            <w:r>
              <w:t xml:space="preserve">Scope 2</w:t>
            </w:r>
          </w:p>
        </w:tc>
        <w:tc>
          <w:tcPr/>
          <w:p>
            <w:pPr>
              <w:pStyle w:val="Compact"/>
              <w:jc w:val="left"/>
            </w:pPr>
            <w:r>
              <w:t xml:space="preserve">0.928</w:t>
            </w:r>
          </w:p>
        </w:tc>
        <w:tc>
          <w:tcPr/>
          <w:p>
            <w:pPr>
              <w:pStyle w:val="Compact"/>
              <w:jc w:val="left"/>
            </w:pPr>
            <w:r>
              <w:t xml:space="preserve">2.45%</w:t>
            </w:r>
          </w:p>
        </w:tc>
      </w:tr>
      <w:tr>
        <w:tc>
          <w:tcPr/>
          <w:p>
            <w:pPr>
              <w:pStyle w:val="Compact"/>
              <w:jc w:val="left"/>
            </w:pPr>
            <w:r>
              <w:t xml:space="preserve">Upstream Transport (Raw Materials)</w:t>
            </w:r>
          </w:p>
        </w:tc>
        <w:tc>
          <w:tcPr/>
          <w:p>
            <w:pPr>
              <w:pStyle w:val="Compact"/>
              <w:jc w:val="left"/>
            </w:pPr>
            <w:r>
              <w:t xml:space="preserve">Scope 3, Cat. 4</w:t>
            </w:r>
          </w:p>
        </w:tc>
        <w:tc>
          <w:tcPr/>
          <w:p>
            <w:pPr>
              <w:pStyle w:val="Compact"/>
              <w:jc w:val="left"/>
            </w:pPr>
            <w:r>
              <w:t xml:space="preserve">0.412</w:t>
            </w:r>
          </w:p>
        </w:tc>
        <w:tc>
          <w:tcPr/>
          <w:p>
            <w:pPr>
              <w:pStyle w:val="Compact"/>
              <w:jc w:val="left"/>
            </w:pPr>
            <w:r>
              <w:t xml:space="preserve">1.09%</w:t>
            </w:r>
          </w:p>
        </w:tc>
      </w:tr>
      <w:tr>
        <w:tc>
          <w:tcPr/>
          <w:p>
            <w:pPr>
              <w:pStyle w:val="Compact"/>
              <w:jc w:val="left"/>
            </w:pPr>
            <w:r>
              <w:t xml:space="preserve">Downstream Transport (Last-Mile Delivery)</w:t>
            </w:r>
          </w:p>
        </w:tc>
        <w:tc>
          <w:tcPr/>
          <w:p>
            <w:pPr>
              <w:pStyle w:val="Compact"/>
              <w:jc w:val="left"/>
            </w:pPr>
            <w:r>
              <w:t xml:space="preserve">Scope 3, Cat. 9</w:t>
            </w:r>
          </w:p>
        </w:tc>
        <w:tc>
          <w:tcPr/>
          <w:p>
            <w:pPr>
              <w:pStyle w:val="Compact"/>
              <w:jc w:val="left"/>
            </w:pPr>
            <w:r>
              <w:t xml:space="preserve">12.500</w:t>
            </w:r>
          </w:p>
        </w:tc>
        <w:tc>
          <w:tcPr/>
          <w:p>
            <w:pPr>
              <w:pStyle w:val="Compact"/>
              <w:jc w:val="left"/>
            </w:pPr>
            <w:r>
              <w:t xml:space="preserve">33.05%</w:t>
            </w:r>
          </w:p>
        </w:tc>
      </w:tr>
      <w:tr>
        <w:tc>
          <w:tcPr/>
          <w:p>
            <w:pPr>
              <w:pStyle w:val="Compact"/>
              <w:jc w:val="left"/>
            </w:pPr>
            <w:r>
              <w:t xml:space="preserve">Use Phase (Energy Consumption)</w:t>
            </w:r>
          </w:p>
        </w:tc>
        <w:tc>
          <w:tcPr/>
          <w:p>
            <w:pPr>
              <w:pStyle w:val="Compact"/>
              <w:jc w:val="left"/>
            </w:pPr>
            <w:r>
              <w:t xml:space="preserve">Scope 3, Cat. 11</w:t>
            </w:r>
          </w:p>
        </w:tc>
        <w:tc>
          <w:tcPr/>
          <w:p>
            <w:pPr>
              <w:pStyle w:val="Compact"/>
              <w:jc w:val="left"/>
            </w:pPr>
            <w:r>
              <w:t xml:space="preserve">15.000</w:t>
            </w:r>
          </w:p>
        </w:tc>
        <w:tc>
          <w:tcPr/>
          <w:p>
            <w:pPr>
              <w:pStyle w:val="Compact"/>
              <w:jc w:val="left"/>
            </w:pPr>
            <w:r>
              <w:t xml:space="preserve">39.67%</w:t>
            </w:r>
          </w:p>
        </w:tc>
      </w:tr>
      <w:tr>
        <w:tc>
          <w:tcPr/>
          <w:p>
            <w:pPr>
              <w:pStyle w:val="Compact"/>
              <w:jc w:val="left"/>
            </w:pPr>
            <w:r>
              <w:t xml:space="preserve">End-of-Life Treatment</w:t>
            </w:r>
          </w:p>
        </w:tc>
        <w:tc>
          <w:tcPr/>
          <w:p>
            <w:pPr>
              <w:pStyle w:val="Compact"/>
              <w:jc w:val="left"/>
            </w:pPr>
            <w:r>
              <w:t xml:space="preserve">Scope 3, Cat. 12</w:t>
            </w:r>
          </w:p>
        </w:tc>
        <w:tc>
          <w:tcPr/>
          <w:p>
            <w:pPr>
              <w:pStyle w:val="Compact"/>
              <w:jc w:val="left"/>
            </w:pPr>
            <w:r>
              <w:t xml:space="preserve">-0.5562</w:t>
            </w:r>
          </w:p>
        </w:tc>
        <w:tc>
          <w:tcPr/>
          <w:p>
            <w:pPr>
              <w:pStyle w:val="Compact"/>
              <w:jc w:val="left"/>
            </w:pPr>
            <w:r>
              <w:t xml:space="preserve">-1.47%</w:t>
            </w:r>
          </w:p>
        </w:tc>
      </w:tr>
      <w:tr>
        <w:tc>
          <w:tcPr>
            <w:gridSpan w:val="2"/>
          </w:tcPr>
          <w:p>
            <w:pPr>
              <w:pStyle w:val="Compact"/>
              <w:jc w:val="left"/>
            </w:pPr>
            <w:r>
              <w:rPr>
                <w:bCs/>
                <w:b/>
              </w:rPr>
              <w:t xml:space="preserve">TOTAL PRODUCT CARBON FOOTPRINT (kgCO2e/unit)</w:t>
            </w:r>
          </w:p>
        </w:tc>
        <w:tc>
          <w:tcPr/>
          <w:p>
            <w:pPr>
              <w:pStyle w:val="Compact"/>
              <w:jc w:val="left"/>
            </w:pPr>
            <w:r>
              <w:rPr>
                <w:bCs/>
                <w:b/>
              </w:rPr>
              <w:t xml:space="preserve">37.8138</w:t>
            </w:r>
          </w:p>
        </w:tc>
        <w:tc>
          <w:tcPr/>
          <w:p>
            <w:pPr>
              <w:pStyle w:val="Compact"/>
              <w:jc w:val="left"/>
            </w:pPr>
            <w:r>
              <w:rPr>
                <w:bCs/>
                <w:b/>
              </w:rPr>
              <w:t xml:space="preserve">100.00%</w:t>
            </w:r>
          </w:p>
        </w:tc>
      </w:tr>
    </w:tbl>
    <w:bookmarkEnd w:id="35"/>
    <w:bookmarkEnd w:id="36"/>
    <w:bookmarkStart w:id="39" w:name="step-5-review-report"/>
    <w:p>
      <w:pPr>
        <w:pStyle w:val="Heading3"/>
      </w:pPr>
      <w:r>
        <w:t xml:space="preserve">2.4. Step 5: Review &amp; Report</w:t>
      </w:r>
    </w:p>
    <w:p>
      <w:pPr>
        <w:pStyle w:val="FirstParagraph"/>
      </w:pPr>
      <w:r>
        <w:t xml:space="preserve">This report presents the calculated PCF, identifies key emission hotspots, and discusses the methodology and data reliability.</w:t>
      </w:r>
    </w:p>
    <w:bookmarkStart w:id="37" w:name="hotspots-and-reliability"/>
    <w:p>
      <w:pPr>
        <w:pStyle w:val="Heading4"/>
      </w:pPr>
      <w:r>
        <w:t xml:space="preserve">2.4.1. Hotspots and Reliability</w:t>
      </w:r>
    </w:p>
    <w:p>
      <w:pPr>
        <w:pStyle w:val="FirstParagraph"/>
      </w:pPr>
      <w:r>
        <w:t xml:space="preserve">The most significant carbon hotspots for</w:t>
      </w:r>
      <w:r>
        <w:t xml:space="preserve"> </w:t>
      </w:r>
      <w:r>
        <w:rPr>
          <w:bCs/>
          <w:b/>
        </w:rPr>
        <w:t xml:space="preserve">vpfxyhihiv</w:t>
      </w:r>
      <w:r>
        <w:t xml:space="preserve"> </w:t>
      </w:r>
      <w:r>
        <w:t xml:space="preserve">are identified in the Use Phase (39.67% of total PCF) and Downstream Transportation (Last-Mile Delivery) (33.05% of total PCF), followed by the Material Inputs (25.20%). The production energy (Scope 2) contributes a smaller percentage (2.45%), partly due to the reported 60% renewable energy usage. The End-of-Life phase demonstrates a net carbon credit, primarily due to the high recyclability percentage, indicating a positive impact from circular economy initiatives. The reliability of this report is based on the provided parameters and the use of industry-standard emission factors. While specific data for placeholders were assumed for calculation, primary data collection for key hotspots (especially use phase energy consumption and actual transport distances/modes) would further enhance accuracy.</w:t>
      </w:r>
    </w:p>
    <w:bookmarkEnd w:id="37"/>
    <w:bookmarkStart w:id="38" w:name="scope-3-compliance-2026-requirements"/>
    <w:p>
      <w:pPr>
        <w:pStyle w:val="Heading4"/>
      </w:pPr>
      <w:r>
        <w:t xml:space="preserve">2.4.2. Scope 3 Compliance (2026 Requirements)</w:t>
      </w:r>
    </w:p>
    <w:p>
      <w:pPr>
        <w:pStyle w:val="FirstParagraph"/>
      </w:pPr>
      <w:r>
        <w:t xml:space="preserve">As per 2026 requirements, this report aims for at least 95% coverage for Scope 3 emissions. By including comprehensive upstream (materials, transport) and downstream (distribution, use phase, end-of-life) categories, a significant portion of the value chain emissions for</w:t>
      </w:r>
      <w:r>
        <w:t xml:space="preserve"> </w:t>
      </w:r>
      <w:r>
        <w:rPr>
          <w:bCs/>
          <w:b/>
        </w:rPr>
        <w:t xml:space="preserve">vpfxyhihiv</w:t>
      </w:r>
      <w:r>
        <w:t xml:space="preserve"> </w:t>
      </w:r>
      <w:r>
        <w:t xml:space="preserve">has been accounted for. Continuous engagement with suppliers and distributors will be crucial for upshpqdzng to gather more specific primary data and maintain this high coverage level in future reports, aligning with the shift towards "financial-grade, auditable" Scope 3 reporting.</w:t>
      </w:r>
    </w:p>
    <w:p>
      <w:r>
        <w:pict>
          <v:rect style="width:0;height:1.5pt" o:hralign="center" o:hrstd="t" o:hr="t"/>
        </w:pict>
      </w:r>
    </w:p>
    <w:bookmarkEnd w:id="38"/>
    <w:bookmarkEnd w:id="39"/>
    <w:bookmarkEnd w:id="40"/>
    <w:bookmarkStart w:id="42" w:name="conclusion-and-recommendations"/>
    <w:p>
      <w:pPr>
        <w:pStyle w:val="Heading2"/>
      </w:pPr>
      <w:r>
        <w:t xml:space="preserve">3. Conclusion and Recommendations</w:t>
      </w:r>
    </w:p>
    <w:p>
      <w:pPr>
        <w:pStyle w:val="FirstParagraph"/>
      </w:pPr>
      <w:r>
        <w:t xml:space="preserve">The Product Carbon Footprint for one unit of</w:t>
      </w:r>
      <w:r>
        <w:t xml:space="preserve"> </w:t>
      </w:r>
      <w:r>
        <w:rPr>
          <w:bCs/>
          <w:b/>
        </w:rPr>
        <w:t xml:space="preserve">vpfxyhihiv</w:t>
      </w:r>
      <w:r>
        <w:t xml:space="preserve"> </w:t>
      </w:r>
      <w:r>
        <w:t xml:space="preserve">is calculated to be</w:t>
      </w:r>
      <w:r>
        <w:t xml:space="preserve"> </w:t>
      </w:r>
      <w:r>
        <w:rPr>
          <w:bCs/>
          <w:b/>
        </w:rPr>
        <w:t xml:space="preserve">37.81 kgCO2e</w:t>
      </w:r>
      <w:r>
        <w:t xml:space="preserve">. The analysis highlights the critical importance of the use phase and last-mile delivery in the overall footprint. Material selection, particularly for high-impact electronic components, also presents a substantial opportunity for reduction.</w:t>
      </w:r>
    </w:p>
    <w:bookmarkStart w:id="41" w:name="recommendations-for-emission-reduction"/>
    <w:p>
      <w:pPr>
        <w:pStyle w:val="Heading3"/>
      </w:pPr>
      <w:r>
        <w:t xml:space="preserve">Recommendations for Emission Reduction:</w:t>
      </w:r>
    </w:p>
    <w:p>
      <w:pPr>
        <w:numPr>
          <w:ilvl w:val="0"/>
          <w:numId w:val="1018"/>
        </w:numPr>
        <w:pStyle w:val="Compact"/>
      </w:pPr>
      <w:r>
        <w:rPr>
          <w:bCs/>
          <w:b/>
        </w:rPr>
        <w:t xml:space="preserve">Optimize Use Phase:</w:t>
      </w:r>
      <w:r>
        <w:t xml:space="preserve"> </w:t>
      </w:r>
      <w:r>
        <w:t xml:space="preserve">Invest in energy-efficient design for</w:t>
      </w:r>
      <w:r>
        <w:t xml:space="preserve"> </w:t>
      </w:r>
      <w:r>
        <w:rPr>
          <w:bCs/>
          <w:b/>
        </w:rPr>
        <w:t xml:space="preserve">vpfxyhihiv</w:t>
      </w:r>
      <w:r>
        <w:t xml:space="preserve"> </w:t>
      </w:r>
      <w:r>
        <w:t xml:space="preserve">to reduce energy consumption during its lifespan. Provide clear guidance to consumers on efficient use.</w:t>
      </w:r>
    </w:p>
    <w:p>
      <w:pPr>
        <w:numPr>
          <w:ilvl w:val="0"/>
          <w:numId w:val="1018"/>
        </w:numPr>
        <w:pStyle w:val="Compact"/>
      </w:pPr>
      <w:r>
        <w:rPr>
          <w:bCs/>
          <w:b/>
        </w:rPr>
        <w:t xml:space="preserve">Decarbonize Logistics:</w:t>
      </w:r>
      <w:r>
        <w:t xml:space="preserve"> </w:t>
      </w:r>
      <w:r>
        <w:t xml:space="preserve">Explore lower-carbon transport modes for last-mile delivery (e.g., electric vehicles, optimized routing, local distribution hubs). Engage with logistics partners to encourage sustainable practices.</w:t>
      </w:r>
    </w:p>
    <w:p>
      <w:pPr>
        <w:numPr>
          <w:ilvl w:val="0"/>
          <w:numId w:val="1018"/>
        </w:numPr>
        <w:pStyle w:val="Compact"/>
      </w:pPr>
      <w:r>
        <w:rPr>
          <w:bCs/>
          <w:b/>
        </w:rPr>
        <w:t xml:space="preserve">Sustainable Material Sourcing:</w:t>
      </w:r>
      <w:r>
        <w:t xml:space="preserve"> </w:t>
      </w:r>
      <w:r>
        <w:t xml:space="preserve">Continue to prioritize materials with lower embedded carbon (e.g., recycled content, bio-based alternatives) and work with suppliers to reduce their manufacturing emissions.</w:t>
      </w:r>
    </w:p>
    <w:p>
      <w:pPr>
        <w:numPr>
          <w:ilvl w:val="0"/>
          <w:numId w:val="1018"/>
        </w:numPr>
        <w:pStyle w:val="Compact"/>
      </w:pPr>
      <w:r>
        <w:rPr>
          <w:bCs/>
          <w:b/>
        </w:rPr>
        <w:t xml:space="preserve">Enhance Circularity:</w:t>
      </w:r>
      <w:r>
        <w:t xml:space="preserve"> </w:t>
      </w:r>
      <w:r>
        <w:t xml:space="preserve">Leverage the strong recyclability by actively promoting and facilitating take-back programs (as indicated by \'mqdgmistoj\') to ensure materials are recovered and re-enter the supply chain, maximizing the end-of-life credit.</w:t>
      </w:r>
    </w:p>
    <w:p>
      <w:pPr>
        <w:numPr>
          <w:ilvl w:val="0"/>
          <w:numId w:val="1018"/>
        </w:numPr>
        <w:pStyle w:val="Compact"/>
      </w:pPr>
      <w:r>
        <w:rPr>
          <w:bCs/>
          <w:b/>
        </w:rPr>
        <w:t xml:space="preserve">Data Refinement:</w:t>
      </w:r>
      <w:r>
        <w:t xml:space="preserve"> </w:t>
      </w:r>
      <w:r>
        <w:t xml:space="preserve">Prioritize collecting primary data for high-impact areas such as actual energy consumption in the use phase by typical customers, and specific transport data (fuel consumption, vehicle types) from logistics providers.</w:t>
      </w:r>
    </w:p>
    <w:p>
      <w:pPr>
        <w:pStyle w:val="FirstParagraph"/>
      </w:pPr>
      <w:r>
        <w:t xml:space="preserve">Confidential - Internal Use Only</w:t>
      </w:r>
    </w:p>
    <w:bookmarkEnd w:id="41"/>
    <w:bookmarkEnd w:id="42"/>
    <w:bookmarkEnd w:id="4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vpfxyhihiv</dc:title>
  <dc:creator/>
  <dc:description>Detailed Product Carbon Footprint (PCF) analysis report for vpfxyhihiv by Senior Sustainability Consultant qgmjnidiiw, adhering to GHG Protocol standards and 2026 updates.</dc:description>
  <dc:language>en</dc:language>
  <cp:keywords/>
  <dcterms:created xsi:type="dcterms:W3CDTF">2026-07-15T05:35:09Z</dcterms:created>
  <dcterms:modified xsi:type="dcterms:W3CDTF">2026-07-15T05:35:09Z</dcterms:modified>
</cp:coreProperties>
</file>

<file path=docProps/custom.xml><?xml version="1.0" encoding="utf-8"?>
<Properties xmlns="http://schemas.openxmlformats.org/officeDocument/2006/custom-properties" xmlns:vt="http://schemas.openxmlformats.org/officeDocument/2006/docPropsVTypes"/>
</file>