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voxmyvznsm</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voxmyvznsm</w:t>
      </w:r>
    </w:p>
    <w:p>
      <w:pPr>
        <w:pStyle w:val="BodyText"/>
      </w:pPr>
      <w:r>
        <w:rPr>
          <w:bCs/>
          <w:b/>
        </w:rPr>
        <w:t xml:space="preserve">Company Name:</w:t>
      </w:r>
      <w:r>
        <w:t xml:space="preserve"> </w:t>
      </w:r>
      <w:r>
        <w:t xml:space="preserve">yudeeekqxw</w:t>
      </w:r>
    </w:p>
    <w:p>
      <w:pPr>
        <w:pStyle w:val="BodyText"/>
      </w:pPr>
      <w:r>
        <w:rPr>
          <w:bCs/>
          <w:b/>
        </w:rPr>
        <w:t xml:space="preserve">Senior Sustainability Consultant:</w:t>
      </w:r>
      <w:r>
        <w:t xml:space="preserve"> </w:t>
      </w:r>
      <w:r>
        <w:t xml:space="preserve">rpddmugqtp</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including specific parameters provided. While every effort has been made to ensure accuracy, the actual carbon footprint may vary based on real-time operational data, supplier-specific information, and evolving methodologies. The calculations herein are illustrative and demonstrate the application of the GHG Protocol framework.</w:t>
      </w:r>
    </w:p>
    <w:bookmarkEnd w:id="20"/>
    <w:bookmarkStart w:id="47"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voxmyvznsm</w:t>
      </w:r>
      <w:r>
        <w:t xml:space="preserve">, manufactured by</w:t>
      </w:r>
      <w:r>
        <w:t xml:space="preserve"> </w:t>
      </w:r>
      <w:r>
        <w:rPr>
          <w:bCs/>
          <w:b/>
        </w:rPr>
        <w:t xml:space="preserve">yudeeekqxw</w:t>
      </w:r>
      <w:r>
        <w:t xml:space="preserve">. The analysis, conducted by Senior Sustainability Consultant</w:t>
      </w:r>
      <w:r>
        <w:t xml:space="preserve"> </w:t>
      </w:r>
      <w:r>
        <w:rPr>
          <w:bCs/>
          <w:b/>
        </w:rPr>
        <w:t xml:space="preserve">rpddmugqtp</w:t>
      </w:r>
      <w:r>
        <w:t xml:space="preserve">, adheres strictly to the GHG Protocol standards. It encompasses a cradle-to-gate system boundary with consideration for the use phase and end-of-life scenarios, providing a comprehensive assessment of greenhouse gas (GHG) emissions across the product\'s lifecycle. The primary objective is to identify emissions hotspots and offer actionable insights for reduction, ensuring alignment with yudeeekqxw\'s sustainability commitments and the latest 2026 GHG Protocol requirements, including the Land Sector and Removals (LSR) Standard and stringent Scope 3 coverage.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boundaries and parameters of the study to ensure accuracy, relevance, and consistency with the GHG Protocol.</w:t>
      </w:r>
    </w:p>
    <w:p>
      <w:pPr>
        <w:numPr>
          <w:ilvl w:val="0"/>
          <w:numId w:val="1001"/>
        </w:numPr>
        <w:pStyle w:val="Compact"/>
      </w:pPr>
      <w:r>
        <w:rPr>
          <w:bCs/>
          <w:b/>
        </w:rPr>
        <w:t xml:space="preserve">Functional Unit:</w:t>
      </w:r>
      <w:r>
        <w:t xml:space="preserve"> </w:t>
      </w:r>
      <w:r>
        <w:t xml:space="preserve">The declared unit for this PCF is</w:t>
      </w:r>
      <w:r>
        <w:t xml:space="preserve"> </w:t>
      </w:r>
      <w:r>
        <w:rPr>
          <w:bCs/>
          <w:b/>
        </w:rPr>
        <w:t xml:space="preserve">1.0 unit</w:t>
      </w:r>
      <w:r>
        <w:t xml:space="preserve"> </w:t>
      </w:r>
      <w:r>
        <w:t xml:space="preserve">of voxmyvznsm.</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for direct operational control, which is then expanded to include significant upstream (cradle-to-gate for materials) and downstream (use phase and end-of-life) impacts to provide a comprehensive lifecycle perspective, aligning with cradle-to-grave principles.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All calculations and reporting are performed in accordance with the</w:t>
      </w:r>
      <w:r>
        <w:t xml:space="preserve"> </w:t>
      </w:r>
      <w:r>
        <w:rPr>
          <w:bCs/>
          <w:b/>
        </w:rPr>
        <w:t xml:space="preserve">GHG Protocol (Product Standard)</w:t>
      </w:r>
      <w:r>
        <w:t xml:space="preserve">. Emissions are categorized into Scope 1 (direct emissions), Scope 2 (indirect emissions from purchased electricity, heat, or steam), and Scope 3 (all other indirect emissions across the value chain).</w:t>
      </w:r>
    </w:p>
    <w:p>
      <w:pPr>
        <w:numPr>
          <w:ilvl w:val="0"/>
          <w:numId w:val="1001"/>
        </w:numPr>
        <w:pStyle w:val="Compact"/>
      </w:pPr>
      <w:r>
        <w:rPr>
          <w:bCs/>
          <w:b/>
        </w:rPr>
        <w:t xml:space="preserve">Allocation:</w:t>
      </w:r>
      <w:r>
        <w:t xml:space="preserve"> </w:t>
      </w:r>
      <w:r>
        <w:t xml:space="preserve">Emissions are allocated to the functional unit based on mass allocation for raw materials and energy consumption directly attributable to the production of one unit of voxmyvznsm. For multi-product processes, economic allocation principles are applied where mass allocation is not appropriate.</w:t>
      </w:r>
    </w:p>
    <w:p>
      <w:r>
        <w:pict>
          <v:rect style="width:0;height:1.5pt" o:hralign="center" o:hrstd="t" o:hr="t"/>
        </w:pict>
      </w:r>
    </w:p>
    <w:bookmarkEnd w:id="22"/>
    <w:bookmarkStart w:id="25" w:name="map-lifecycle-lci-inventory-stages"/>
    <w:p>
      <w:pPr>
        <w:pStyle w:val="Heading2"/>
      </w:pPr>
      <w:r>
        <w:t xml:space="preserve">2. Map Lifecycle (LCI Inventory Stages)</w:t>
      </w:r>
    </w:p>
    <w:p>
      <w:pPr>
        <w:pStyle w:val="FirstParagraph"/>
      </w:pPr>
      <w:r>
        <w:t xml:space="preserve">The lifecycle mapping identifies key stages and associated processes that contribute to the product\'s carbon footprint. For voxmyvznsm, these stages include:</w:t>
      </w:r>
    </w:p>
    <w:p>
      <w:pPr>
        <w:numPr>
          <w:ilvl w:val="0"/>
          <w:numId w:val="1003"/>
        </w:numPr>
        <w:pStyle w:val="Compact"/>
      </w:pPr>
      <w:r>
        <w:rPr>
          <w:bCs/>
          <w:b/>
        </w:rPr>
        <w:t xml:space="preserve">Material Acquisition &amp; Pre-processing (Upstream Scope 3, Category 1 - Purchased Goods and Services):</w:t>
      </w:r>
      <w:r>
        <w:t xml:space="preserve"> </w:t>
      </w:r>
      <w:r>
        <w:t xml:space="preserve">This stage covers the extraction, cultivation, and initial processing of all raw materials required for voxmyvznsm. Detailed material inputs are derived from the provided Bill of Materials (BOM),</w:t>
      </w:r>
      <w:r>
        <w:t xml:space="preserve"> </w:t>
      </w:r>
      <w:r>
        <w:rPr>
          <w:bCs/>
          <w:b/>
        </w:rPr>
        <w:t xml:space="preserve">sqfyrzex</w:t>
      </w:r>
      <w:r>
        <w:t xml:space="preserve">.</w:t>
      </w:r>
    </w:p>
    <w:p>
      <w:pPr>
        <w:numPr>
          <w:ilvl w:val="0"/>
          <w:numId w:val="1003"/>
        </w:numPr>
        <w:pStyle w:val="Compact"/>
      </w:pPr>
      <w:r>
        <w:rPr>
          <w:bCs/>
          <w:b/>
        </w:rPr>
        <w:t xml:space="preserve">Production/Manufacturing (Scope 1 &amp; 2):</w:t>
      </w:r>
      <w:r>
        <w:t xml:space="preserve"> </w:t>
      </w:r>
      <w:r>
        <w:t xml:space="preserve">Emissions from yudeeekqxw\'s own manufacturing operations in China, including direct fuel combustion (Scope 1) and purchased electricity consumption (Scope 2). This also includes emissions related to the specific processes identified in the BOM.</w:t>
      </w:r>
    </w:p>
    <w:p>
      <w:pPr>
        <w:numPr>
          <w:ilvl w:val="0"/>
          <w:numId w:val="1003"/>
        </w:numPr>
        <w:pStyle w:val="Compact"/>
      </w:pPr>
      <w:r>
        <w:rPr>
          <w:bCs/>
          <w:b/>
        </w:rPr>
        <w:t xml:space="preserve">Transport (Upstream Scope 3, Category 4 - Upstream Transportation and Distribution):</w:t>
      </w:r>
      <w:r>
        <w:t xml:space="preserve"> </w:t>
      </w:r>
      <w:r>
        <w:t xml:space="preserve">Transportation of raw materials and components from suppliers (primarily Europe-focused) to the manufacturing facility in China, and transport of the finished product to distribution centers. Specific transport modes and distances are incorporated.</w:t>
      </w:r>
    </w:p>
    <w:p>
      <w:pPr>
        <w:numPr>
          <w:ilvl w:val="0"/>
          <w:numId w:val="1003"/>
        </w:numPr>
        <w:pStyle w:val="Compact"/>
      </w:pPr>
      <w:r>
        <w:rPr>
          <w:bCs/>
          <w:b/>
        </w:rPr>
        <w:t xml:space="preserve">Use Phase (Downstream Scope 3, Category 11 - Use of Sold Products):</w:t>
      </w:r>
      <w:r>
        <w:t xml:space="preserve"> </w:t>
      </w:r>
      <w:r>
        <w:t xml:space="preserve">Emissions generated during the typical operational lifespan of voxmyvznsm by the end-user, based on product lifespan and energy consumption in use.</w:t>
      </w:r>
    </w:p>
    <w:p>
      <w:pPr>
        <w:numPr>
          <w:ilvl w:val="0"/>
          <w:numId w:val="1003"/>
        </w:numPr>
        <w:pStyle w:val="Compact"/>
      </w:pPr>
      <w:r>
        <w:rPr>
          <w:bCs/>
          <w:b/>
        </w:rPr>
        <w:t xml:space="preserve">End-of-Life (Downstream Scope 3, Category 12 - End-of-Life Treatment of Sold Products):</w:t>
      </w:r>
      <w:r>
        <w:t xml:space="preserve"> </w:t>
      </w:r>
      <w:r>
        <w:t xml:space="preserve">Emissions associated with the disposal, recycling, or recovery of voxmyvznsm at the end of its functional life, considering recyclability and circular economy programs.</w:t>
      </w:r>
    </w:p>
    <w:bookmarkStart w:id="24" w:name="X375f90d34e2738bf774185f3c83efd090ce459a"/>
    <w:p>
      <w:pPr>
        <w:pStyle w:val="Heading3"/>
      </w:pPr>
      <w:r>
        <w:t xml:space="preserve">Detailed Breakdown of Materials and Energy Inputs:</w:t>
      </w:r>
    </w:p>
    <w:p>
      <w:pPr>
        <w:pStyle w:val="FirstParagraph"/>
      </w:pPr>
      <w:r>
        <w:t xml:space="preserve">The product</w:t>
      </w:r>
      <w:r>
        <w:t xml:space="preserve"> </w:t>
      </w:r>
      <w:r>
        <w:rPr>
          <w:bCs/>
          <w:b/>
        </w:rPr>
        <w:t xml:space="preserve">voxmyvznsm</w:t>
      </w:r>
      <w:r>
        <w:t xml:space="preserve">, as detailed in the Bill of Materials (BOM)</w:t>
      </w:r>
      <w:r>
        <w:t xml:space="preserve"> </w:t>
      </w:r>
      <w:r>
        <w:rPr>
          <w:bCs/>
          <w:b/>
        </w:rPr>
        <w:t xml:space="preserve">sqfyrzex</w:t>
      </w:r>
      <w:r>
        <w:t xml:space="preserve">, comprises various materials and energy inputs. An illustrative breakdown is provided below, reflecting the format of the detailed BOM and showing expected material categories:</w:t>
      </w:r>
    </w:p>
    <w:bookmarkStart w:id="23" w:name="Xb39da591ea8bd28469798b3a3de65c4f39dfba1"/>
    <w:p>
      <w:pPr>
        <w:pStyle w:val="Heading4"/>
      </w:pPr>
      <w:r>
        <w:t xml:space="preserve">Illustrative Bill of Materials (BOM) - Based on sqfyrzex</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Extrusion</w:t>
            </w:r>
          </w:p>
        </w:tc>
        <w:tc>
          <w:tcPr/>
          <w:p>
            <w:pPr>
              <w:pStyle w:val="Compact"/>
              <w:jc w:val="left"/>
            </w:pPr>
            <w:r>
              <w:t xml:space="preserve">0.8 kg</w:t>
            </w:r>
          </w:p>
        </w:tc>
        <w:tc>
          <w:tcPr/>
          <w:p>
            <w:pPr>
              <w:pStyle w:val="Compact"/>
              <w:jc w:val="left"/>
            </w:pPr>
            <w:r>
              <w:t xml:space="preserve">14.8 kgCO2e/kg</w:t>
            </w:r>
          </w:p>
        </w:tc>
        <w:tc>
          <w:tcPr/>
          <w:p>
            <w:pPr>
              <w:pStyle w:val="Compact"/>
              <w:jc w:val="left"/>
            </w:pPr>
            <w:r>
              <w:t xml:space="preserve">11.84</w:t>
            </w:r>
          </w:p>
        </w:tc>
      </w:tr>
      <w:tr>
        <w:tc>
          <w:tcPr/>
          <w:p>
            <w:pPr>
              <w:pStyle w:val="Compact"/>
              <w:jc w:val="left"/>
            </w:pPr>
            <w:r>
              <w:t xml:space="preserve">M002</w:t>
            </w:r>
          </w:p>
        </w:tc>
        <w:tc>
          <w:tcPr/>
          <w:p>
            <w:pPr>
              <w:pStyle w:val="Compact"/>
              <w:jc w:val="left"/>
            </w:pPr>
            <w:r>
              <w:t xml:space="preserve">ABS Plastic Parts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6.0 kgCO2e/kg</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 kg</w:t>
            </w:r>
          </w:p>
        </w:tc>
        <w:tc>
          <w:tcPr/>
          <w:p>
            <w:pPr>
              <w:pStyle w:val="Compact"/>
              <w:jc w:val="left"/>
            </w:pPr>
            <w:r>
              <w:t xml:space="preserve">4.0 kgCO2e/kg</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20.0 kgCO2e/kg</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Protective Packaging</w:t>
            </w:r>
          </w:p>
        </w:tc>
        <w:tc>
          <w:tcPr/>
          <w:p>
            <w:pPr>
              <w:pStyle w:val="Compact"/>
              <w:jc w:val="left"/>
            </w:pPr>
            <w:r>
              <w:t xml:space="preserve">Paper</w:t>
            </w:r>
          </w:p>
        </w:tc>
        <w:tc>
          <w:tcPr/>
          <w:p>
            <w:pPr>
              <w:pStyle w:val="Compact"/>
              <w:jc w:val="left"/>
            </w:pPr>
            <w:r>
              <w:t xml:space="preserve">Cardboard Mfg</w:t>
            </w:r>
          </w:p>
        </w:tc>
        <w:tc>
          <w:tcPr/>
          <w:p>
            <w:pPr>
              <w:pStyle w:val="Compact"/>
              <w:jc w:val="left"/>
            </w:pPr>
            <w:r>
              <w:t xml:space="preserve">0.15 kg</w:t>
            </w:r>
          </w:p>
        </w:tc>
        <w:tc>
          <w:tcPr/>
          <w:p>
            <w:pPr>
              <w:pStyle w:val="Compact"/>
              <w:jc w:val="left"/>
            </w:pPr>
            <w:r>
              <w:t xml:space="preserve">0.5 kgCO2e/kg</w:t>
            </w:r>
          </w:p>
        </w:tc>
        <w:tc>
          <w:tcPr/>
          <w:p>
            <w:pPr>
              <w:pStyle w:val="Compact"/>
              <w:jc w:val="left"/>
            </w:pPr>
            <w:r>
              <w:t xml:space="preserve">0.075</w:t>
            </w:r>
          </w:p>
        </w:tc>
      </w:tr>
      <w:tr>
        <w:tc>
          <w:tcPr>
            <w:gridSpan w:val="6"/>
          </w:tcPr>
          <w:p>
            <w:pPr>
              <w:pStyle w:val="Compact"/>
              <w:jc w:val="right"/>
            </w:pPr>
            <w:r>
              <w:t xml:space="preserve">Total Upstream Material Impact (illustrative)</w:t>
            </w:r>
          </w:p>
        </w:tc>
        <w:tc>
          <w:tcPr/>
          <w:p>
            <w:pPr>
              <w:pStyle w:val="Compact"/>
              <w:jc w:val="left"/>
            </w:pPr>
            <w:r>
              <w:t xml:space="preserve">14.515</w:t>
            </w:r>
          </w:p>
        </w:tc>
      </w:tr>
    </w:tbl>
    <w:p>
      <w:pPr>
        <w:pStyle w:val="BodyText"/>
      </w:pPr>
      <w:r>
        <w:rPr>
          <w:iCs/>
          <w:i/>
        </w:rPr>
        <w:t xml:space="preserve">Note: Emission Factors for illustrative BOM items are based on industry averages (e.g., Ecoinvent, DEFRA) or general estimates for demonstration purposes, with citations where direct search results were used for common materials. Actual factors would be sourced from specific databases like ecoinvent or DEFRA for primary data.</w:t>
      </w:r>
    </w:p>
    <w:p>
      <w:r>
        <w:pict>
          <v:rect style="width:0;height:1.5pt" o:hralign="center" o:hrstd="t" o:hr="t"/>
        </w:pict>
      </w:r>
    </w:p>
    <w:bookmarkEnd w:id="23"/>
    <w:bookmarkEnd w:id="24"/>
    <w:bookmarkEnd w:id="25"/>
    <w:bookmarkStart w:id="32" w:name="Xb57f50a89bf1f3f1837369be949d9d60d6c1272"/>
    <w:p>
      <w:pPr>
        <w:pStyle w:val="Heading2"/>
      </w:pPr>
      <w:r>
        <w:t xml:space="preserve">3. Collect Data (Primary/Secondary Data Points)</w:t>
      </w:r>
    </w:p>
    <w:p>
      <w:pPr>
        <w:pStyle w:val="FirstParagraph"/>
      </w:pPr>
      <w:r>
        <w:t xml:space="preserve">Data collection involves gathering quantitative information for each identified lifecycle stage. Both primary (company-specific) and secondary (industry average) data sources are utilized. The following specific parameters were incorporated:</w:t>
      </w:r>
    </w:p>
    <w:bookmarkStart w:id="26" w:name="material-data"/>
    <w:p>
      <w:pPr>
        <w:pStyle w:val="Heading3"/>
      </w:pPr>
      <w:r>
        <w:t xml:space="preserve">Material Data:</w:t>
      </w:r>
    </w:p>
    <w:p>
      <w:pPr>
        <w:numPr>
          <w:ilvl w:val="0"/>
          <w:numId w:val="1004"/>
        </w:numPr>
        <w:pStyle w:val="Compact"/>
      </w:pPr>
      <w:r>
        <w:rPr>
          <w:bCs/>
          <w:b/>
        </w:rPr>
        <w:t xml:space="preserve">Detailed Bill of Materials (BOM):</w:t>
      </w:r>
      <w:r>
        <w:t xml:space="preserve"> </w:t>
      </w:r>
      <w:r>
        <w:rPr>
          <w:bCs/>
          <w:b/>
        </w:rPr>
        <w:t xml:space="preserve">sqfyrzex</w:t>
      </w:r>
      <w:r>
        <w:t xml:space="preserve"> </w:t>
      </w:r>
      <w:r>
        <w:t xml:space="preserve">provides high-accuracy material impact calculation, including ID, Description, Category, Process, Qty, Unit, Emission Factor, and Total Carbon for each item. These specific values (as per the illustrative table above) form the basis of material impact calculations.</w:t>
      </w:r>
    </w:p>
    <w:bookmarkEnd w:id="26"/>
    <w:bookmarkStart w:id="27" w:name="production-data"/>
    <w:p>
      <w:pPr>
        <w:pStyle w:val="Heading3"/>
      </w:pPr>
      <w:r>
        <w:t xml:space="preserve">Production Data:</w:t>
      </w:r>
    </w:p>
    <w:p>
      <w:pPr>
        <w:numPr>
          <w:ilvl w:val="0"/>
          <w:numId w:val="1005"/>
        </w:numPr>
        <w:pStyle w:val="Compact"/>
      </w:pPr>
      <w:r>
        <w:rPr>
          <w:bCs/>
          <w:b/>
        </w:rPr>
        <w:t xml:space="preserve">Energy Intensity (kWh/unit):</w:t>
      </w:r>
      <w:r>
        <w:t xml:space="preserve"> </w:t>
      </w:r>
      <w:r>
        <w:rPr>
          <w:bCs/>
          <w:b/>
        </w:rPr>
        <w:t xml:space="preserve">wdmkpnhzve</w:t>
      </w:r>
      <w:r>
        <w:t xml:space="preserve"> </w:t>
      </w:r>
      <w:r>
        <w:t xml:space="preserve">kWh/unit.</w:t>
      </w:r>
    </w:p>
    <w:p>
      <w:pPr>
        <w:numPr>
          <w:ilvl w:val="0"/>
          <w:numId w:val="1005"/>
        </w:numPr>
        <w:pStyle w:val="Compact"/>
      </w:pPr>
      <w:r>
        <w:rPr>
          <w:bCs/>
          <w:b/>
        </w:rPr>
        <w:t xml:space="preserve">Renewable Energy Usage:</w:t>
      </w:r>
      <w:r>
        <w:t xml:space="preserve"> </w:t>
      </w:r>
      <w:r>
        <w:rPr>
          <w:bCs/>
          <w:b/>
        </w:rPr>
        <w:t xml:space="preserve">kpzfkfzkuz</w:t>
      </w:r>
      <w:r>
        <w:t xml:space="preserve"> </w:t>
      </w:r>
      <w:r>
        <w:t xml:space="preserve">(e.g., 60% renewable energy procurement for production). This significantly influences the Scope 2 emissions.</w:t>
      </w:r>
    </w:p>
    <w:bookmarkEnd w:id="27"/>
    <w:bookmarkStart w:id="28" w:name="logistics-data"/>
    <w:p>
      <w:pPr>
        <w:pStyle w:val="Heading3"/>
      </w:pPr>
      <w:r>
        <w:t xml:space="preserve">Logistics Data:</w:t>
      </w:r>
    </w:p>
    <w:p>
      <w:pPr>
        <w:numPr>
          <w:ilvl w:val="0"/>
          <w:numId w:val="1006"/>
        </w:numPr>
        <w:pStyle w:val="Compact"/>
      </w:pPr>
      <w:r>
        <w:rPr>
          <w:bCs/>
          <w:b/>
        </w:rPr>
        <w:t xml:space="preserve">Transport Mode (Upstream and Downstream):</w:t>
      </w:r>
      <w:r>
        <w:t xml:space="preserve"> </w:t>
      </w:r>
      <w:r>
        <w:rPr>
          <w:bCs/>
          <w:b/>
        </w:rPr>
        <w:t xml:space="preserve">Select Mode</w:t>
      </w:r>
      <w:r>
        <w:t xml:space="preserve"> </w:t>
      </w:r>
      <w:r>
        <w:t xml:space="preserve">(e.g., Ocean Freight, Road Freight).</w:t>
      </w:r>
    </w:p>
    <w:p>
      <w:pPr>
        <w:numPr>
          <w:ilvl w:val="0"/>
          <w:numId w:val="1006"/>
        </w:numPr>
        <w:pStyle w:val="Compact"/>
      </w:pPr>
      <w:r>
        <w:rPr>
          <w:bCs/>
          <w:b/>
        </w:rPr>
        <w:t xml:space="preserve">Transport Distance (Upstream and Downstream):</w:t>
      </w:r>
      <w:r>
        <w:t xml:space="preserve"> </w:t>
      </w:r>
      <w:r>
        <w:rPr>
          <w:bCs/>
          <w:b/>
        </w:rPr>
        <w:t xml:space="preserve">mnspogwkio</w:t>
      </w:r>
      <w:r>
        <w:t xml:space="preserve"> </w:t>
      </w:r>
      <w:r>
        <w:t xml:space="preserve">(e.g., specific distances for raw material inbound and product outbound).</w:t>
      </w:r>
    </w:p>
    <w:p>
      <w:pPr>
        <w:numPr>
          <w:ilvl w:val="0"/>
          <w:numId w:val="1006"/>
        </w:numPr>
        <w:pStyle w:val="Compact"/>
      </w:pPr>
      <w:r>
        <w:rPr>
          <w:bCs/>
          <w:b/>
        </w:rPr>
        <w:t xml:space="preserve">Last-Mile Delivery Channel:</w:t>
      </w:r>
      <w:r>
        <w:t xml:space="preserve"> </w:t>
      </w:r>
      <w:r>
        <w:rPr>
          <w:bCs/>
          <w:b/>
        </w:rPr>
        <w:t xml:space="preserve">Delivery Type</w:t>
      </w:r>
      <w:r>
        <w:t xml:space="preserve"> </w:t>
      </w:r>
      <w:r>
        <w:t xml:space="preserve">(e.g., Van Delivery to end-customers).</w:t>
      </w:r>
    </w:p>
    <w:bookmarkEnd w:id="28"/>
    <w:bookmarkStart w:id="29" w:name="use-phase-data"/>
    <w:p>
      <w:pPr>
        <w:pStyle w:val="Heading3"/>
      </w:pPr>
      <w:r>
        <w:t xml:space="preserve">Use Phase Data:</w:t>
      </w:r>
    </w:p>
    <w:p>
      <w:pPr>
        <w:numPr>
          <w:ilvl w:val="0"/>
          <w:numId w:val="1007"/>
        </w:numPr>
        <w:pStyle w:val="Compact"/>
      </w:pPr>
      <w:r>
        <w:rPr>
          <w:bCs/>
          <w:b/>
        </w:rPr>
        <w:t xml:space="preserve">Product Lifespan:</w:t>
      </w:r>
      <w:r>
        <w:t xml:space="preserve"> </w:t>
      </w:r>
      <w:r>
        <w:rPr>
          <w:bCs/>
          <w:b/>
        </w:rPr>
        <w:t xml:space="preserve">gufrqrhumq</w:t>
      </w:r>
      <w:r>
        <w:t xml:space="preserve"> </w:t>
      </w:r>
      <w:r>
        <w:t xml:space="preserve">(e.g., 5 years).</w:t>
      </w:r>
    </w:p>
    <w:p>
      <w:pPr>
        <w:numPr>
          <w:ilvl w:val="0"/>
          <w:numId w:val="1007"/>
        </w:numPr>
        <w:pStyle w:val="Compact"/>
      </w:pPr>
      <w:r>
        <w:rPr>
          <w:bCs/>
          <w:b/>
        </w:rPr>
        <w:t xml:space="preserve">Energy Consumption in Use:</w:t>
      </w:r>
      <w:r>
        <w:t xml:space="preserve"> </w:t>
      </w:r>
      <w:r>
        <w:rPr>
          <w:bCs/>
          <w:b/>
        </w:rPr>
        <w:t xml:space="preserve">rrsytefdxl</w:t>
      </w:r>
      <w:r>
        <w:t xml:space="preserve"> </w:t>
      </w:r>
      <w:r>
        <w:t xml:space="preserve">(e.g., 10 kWh/year).</w:t>
      </w:r>
    </w:p>
    <w:bookmarkEnd w:id="29"/>
    <w:bookmarkStart w:id="30" w:name="end-of-life-eol-data"/>
    <w:p>
      <w:pPr>
        <w:pStyle w:val="Heading3"/>
      </w:pPr>
      <w:r>
        <w:t xml:space="preserve">End-of-Life (EoL) Data:</w:t>
      </w:r>
    </w:p>
    <w:p>
      <w:pPr>
        <w:numPr>
          <w:ilvl w:val="0"/>
          <w:numId w:val="1008"/>
        </w:numPr>
        <w:pStyle w:val="Compact"/>
      </w:pPr>
      <w:r>
        <w:rPr>
          <w:bCs/>
          <w:b/>
        </w:rPr>
        <w:t xml:space="preserve">Recyclability Percentage:</w:t>
      </w:r>
      <w:r>
        <w:t xml:space="preserve"> </w:t>
      </w:r>
      <w:r>
        <w:rPr>
          <w:bCs/>
          <w:b/>
        </w:rPr>
        <w:t xml:space="preserve">gmrvktyrur</w:t>
      </w:r>
      <w:r>
        <w:t xml:space="preserve"> </w:t>
      </w:r>
      <w:r>
        <w:t xml:space="preserve">(e.g., 80% of product mass is recyclable).</w:t>
      </w:r>
    </w:p>
    <w:p>
      <w:pPr>
        <w:numPr>
          <w:ilvl w:val="0"/>
          <w:numId w:val="1008"/>
        </w:numPr>
        <w:pStyle w:val="Compact"/>
      </w:pPr>
      <w:r>
        <w:rPr>
          <w:bCs/>
          <w:b/>
        </w:rPr>
        <w:t xml:space="preserve">Circular/Take-back Programs:</w:t>
      </w:r>
      <w:r>
        <w:t xml:space="preserve"> </w:t>
      </w:r>
      <w:r>
        <w:rPr>
          <w:bCs/>
          <w:b/>
        </w:rPr>
        <w:t xml:space="preserve">hwtwyyoodj</w:t>
      </w:r>
      <w:r>
        <w:t xml:space="preserve"> </w:t>
      </w:r>
      <w:r>
        <w:t xml:space="preserve">(e.g., Yes, company-run take-back program for key components).</w:t>
      </w:r>
    </w:p>
    <w:bookmarkEnd w:id="30"/>
    <w:bookmarkStart w:id="31" w:name="emission-factors"/>
    <w:p>
      <w:pPr>
        <w:pStyle w:val="Heading3"/>
      </w:pPr>
      <w:r>
        <w:t xml:space="preserve">Emission Factors:</w:t>
      </w:r>
    </w:p>
    <w:p>
      <w:pPr>
        <w:pStyle w:val="FirstParagraph"/>
      </w:pPr>
      <w:r>
        <w:t xml:space="preserve">Industry-standard emission factors are used for calculating CO2e from various activities. These factors are typically sourced from recognized databases such as Ecoinvent and DEFRA, which provide comprehensive Life Cycle Inventory (LCI) data.</w:t>
      </w:r>
    </w:p>
    <w:p>
      <w:pPr>
        <w:numPr>
          <w:ilvl w:val="0"/>
          <w:numId w:val="1009"/>
        </w:numPr>
        <w:pStyle w:val="Compact"/>
      </w:pPr>
      <w:r>
        <w:rPr>
          <w:bCs/>
          <w:b/>
        </w:rPr>
        <w:t xml:space="preserve">Materials:</w:t>
      </w:r>
      <w:r>
        <w:t xml:space="preserve"> </w:t>
      </w:r>
      <w:r>
        <w:t xml:space="preserve">Specific factors for primary aluminum (~14.8 kgCO2e/kg), various plastics (~4.77-6 kgCO2e/kg for PP/LDPE/PET), copper, and packaging materials.</w:t>
      </w:r>
    </w:p>
    <w:p>
      <w:pPr>
        <w:numPr>
          <w:ilvl w:val="0"/>
          <w:numId w:val="1009"/>
        </w:numPr>
        <w:pStyle w:val="Compact"/>
      </w:pPr>
      <w:r>
        <w:rPr>
          <w:bCs/>
          <w:b/>
        </w:rPr>
        <w:t xml:space="preserve">Energy:</w:t>
      </w:r>
      <w:r>
        <w:t xml:space="preserve"> </w:t>
      </w:r>
      <w:r>
        <w:t xml:space="preserve">Country-specific grid electricity emission factors for China (for Scope 2) and average user-country grids for the use phase (Scope 3). Emission factors for non-renewable energy sources and residual emissions from renewable sources are applied.</w:t>
      </w:r>
    </w:p>
    <w:p>
      <w:pPr>
        <w:numPr>
          <w:ilvl w:val="0"/>
          <w:numId w:val="1009"/>
        </w:numPr>
        <w:pStyle w:val="Compact"/>
      </w:pPr>
      <w:r>
        <w:rPr>
          <w:bCs/>
          <w:b/>
        </w:rPr>
        <w:t xml:space="preserve">Transport:</w:t>
      </w:r>
      <w:r>
        <w:t xml:space="preserve"> </w:t>
      </w:r>
      <w:r>
        <w:t xml:space="preserve">Factors for ocean freight (e.g., container ship), road freight (e.g., HGV 26-32 tonne), and light-duty vehicles (e.g., delivery van).</w:t>
      </w:r>
    </w:p>
    <w:p>
      <w:pPr>
        <w:numPr>
          <w:ilvl w:val="0"/>
          <w:numId w:val="1009"/>
        </w:numPr>
        <w:pStyle w:val="Compact"/>
      </w:pPr>
      <w:r>
        <w:rPr>
          <w:bCs/>
          <w:b/>
        </w:rPr>
        <w:t xml:space="preserve">Waste Treatment:</w:t>
      </w:r>
      <w:r>
        <w:t xml:space="preserve"> </w:t>
      </w:r>
      <w:r>
        <w:t xml:space="preserve">Factors for landfill, incineration, and recycling benefits/credits.</w:t>
      </w:r>
    </w:p>
    <w:p>
      <w:r>
        <w:pict>
          <v:rect style="width:0;height:1.5pt" o:hralign="center" o:hrstd="t" o:hr="t"/>
        </w:pict>
      </w:r>
    </w:p>
    <w:bookmarkEnd w:id="31"/>
    <w:bookmarkEnd w:id="32"/>
    <w:bookmarkStart w:id="43" w:name="calculate-emissions"/>
    <w:p>
      <w:pPr>
        <w:pStyle w:val="Heading2"/>
      </w:pPr>
      <w:r>
        <w:t xml:space="preserve">4. Calculate Emissions</w:t>
      </w:r>
    </w:p>
    <w:p>
      <w:pPr>
        <w:pStyle w:val="FirstParagraph"/>
      </w:pPr>
      <w:r>
        <w:t xml:space="preserve">Emissions are calculated for each stage of the product lifecycle by multiplying the activity data by the relevant emission factor (Activity * Emission Factor = CO2e). All GHG emissions are reported in carbon dioxide equivalents (CO2e).</w:t>
      </w:r>
    </w:p>
    <w:bookmarkStart w:id="33" w:name="ghg-protocol-scope-categorization"/>
    <w:p>
      <w:pPr>
        <w:pStyle w:val="Heading3"/>
      </w:pPr>
      <w:r>
        <w:t xml:space="preserve">GHG Protocol Scope Categorization:</w:t>
      </w:r>
    </w:p>
    <w:p>
      <w:pPr>
        <w:pStyle w:val="FirstParagraph"/>
      </w:pPr>
      <w:r>
        <w:t xml:space="preserve">Emissions are categorized as follows:</w:t>
      </w:r>
    </w:p>
    <w:p>
      <w:pPr>
        <w:numPr>
          <w:ilvl w:val="0"/>
          <w:numId w:val="1010"/>
        </w:numPr>
        <w:pStyle w:val="Compact"/>
      </w:pPr>
      <w:r>
        <w:rPr>
          <w:bCs/>
          <w:b/>
        </w:rPr>
        <w:t xml:space="preserve">Scope 1 (Direct Emissions):</w:t>
      </w:r>
      <w:r>
        <w:t xml:space="preserve"> </w:t>
      </w:r>
      <w:r>
        <w:t xml:space="preserve">Emissions from sources owned or controlled by yudeeekqxw (e.g., on-site fuel combustion for manufacturing processes).</w:t>
      </w:r>
    </w:p>
    <w:p>
      <w:pPr>
        <w:numPr>
          <w:ilvl w:val="0"/>
          <w:numId w:val="1010"/>
        </w:numPr>
        <w:pStyle w:val="Compact"/>
      </w:pPr>
      <w:r>
        <w:rPr>
          <w:bCs/>
          <w:b/>
        </w:rPr>
        <w:t xml:space="preserve">Scope 2 (Indirect Emissions from Purchased Energy):</w:t>
      </w:r>
      <w:r>
        <w:t xml:space="preserve"> </w:t>
      </w:r>
      <w:r>
        <w:t xml:space="preserve">Emissions from the generation of purchased electricity consumed by yudeeekqxw\'s manufacturing facilities.</w:t>
      </w:r>
    </w:p>
    <w:p>
      <w:pPr>
        <w:numPr>
          <w:ilvl w:val="0"/>
          <w:numId w:val="1010"/>
        </w:numPr>
        <w:pStyle w:val="Compact"/>
      </w:pPr>
      <w:r>
        <w:rPr>
          <w:bCs/>
          <w:b/>
        </w:rPr>
        <w:t xml:space="preserve">Scope 3 (Other Indirect Emissions - Value Chain):</w:t>
      </w:r>
      <w:r>
        <w:t xml:space="preserve"> </w:t>
      </w:r>
      <w:r>
        <w:t xml:space="preserve">All other indirect emissions occurring in the value chain, both upstream and downstream. This is the most significant scope for PCF and is broken down into 15 categories by the GHG Protocol. For this analysis, key categories include:</w:t>
      </w:r>
    </w:p>
    <w:p>
      <w:pPr>
        <w:numPr>
          <w:ilvl w:val="1"/>
          <w:numId w:val="1011"/>
        </w:numPr>
        <w:pStyle w:val="Compact"/>
      </w:pPr>
      <w:r>
        <w:t xml:space="preserve">Category 1: Purchased goods and services (materials, components).</w:t>
      </w:r>
    </w:p>
    <w:p>
      <w:pPr>
        <w:numPr>
          <w:ilvl w:val="1"/>
          <w:numId w:val="1011"/>
        </w:numPr>
        <w:pStyle w:val="Compact"/>
      </w:pPr>
      <w:r>
        <w:t xml:space="preserve">Category 4: Upstream transportation and distribution (inbound logistics).</w:t>
      </w:r>
    </w:p>
    <w:p>
      <w:pPr>
        <w:numPr>
          <w:ilvl w:val="1"/>
          <w:numId w:val="1011"/>
        </w:numPr>
        <w:pStyle w:val="Compact"/>
      </w:pPr>
      <w:r>
        <w:t xml:space="preserve">Category 9: Downstream transportation and distribution (outbound logistics, last-mile).</w:t>
      </w:r>
    </w:p>
    <w:p>
      <w:pPr>
        <w:numPr>
          <w:ilvl w:val="1"/>
          <w:numId w:val="1011"/>
        </w:numPr>
        <w:pStyle w:val="Compact"/>
      </w:pPr>
      <w:r>
        <w:t xml:space="preserve">Category 11: Use of sold products (product energy consumption during use).</w:t>
      </w:r>
    </w:p>
    <w:p>
      <w:pPr>
        <w:numPr>
          <w:ilvl w:val="1"/>
          <w:numId w:val="1011"/>
        </w:numPr>
        <w:pStyle w:val="Compact"/>
      </w:pPr>
      <w:r>
        <w:t xml:space="preserve">Category 12: End-of-life treatment of sold products (disposal, recycling).</w:t>
      </w:r>
    </w:p>
    <w:bookmarkEnd w:id="33"/>
    <w:bookmarkStart w:id="34" w:name="lsr-update-application"/>
    <w:p>
      <w:pPr>
        <w:pStyle w:val="Heading3"/>
      </w:pPr>
      <w:r>
        <w:t xml:space="preserve">2026 LSR Update Application:</w:t>
      </w:r>
    </w:p>
    <w:p>
      <w:pPr>
        <w:pStyle w:val="FirstParagraph"/>
      </w:pPr>
      <w:r>
        <w:t xml:space="preserve">The Land Sector and Removals (LSR) Standard is applied by explicitly considering land-use changes and potential carbon removals associated with raw material sourcing (e.g., bio-based materials, sustainable forestry) or end-of-life biogenic carbon sequestration where applicable. While specific land-use data was not provided, the methodology ensures that such impacts would be quantified and reported if relevant data becomes available, distinguishing between biogenic and fossil carbon emissions and removals.</w:t>
      </w:r>
    </w:p>
    <w:bookmarkEnd w:id="34"/>
    <w:bookmarkStart w:id="35" w:name="scope-3-compliance"/>
    <w:p>
      <w:pPr>
        <w:pStyle w:val="Heading3"/>
      </w:pPr>
      <w:r>
        <w:t xml:space="preserve">Scope 3 Compliance:</w:t>
      </w:r>
    </w:p>
    <w:p>
      <w:pPr>
        <w:pStyle w:val="FirstParagraph"/>
      </w:pPr>
      <w:r>
        <w:t xml:space="preserve">In line with 2026 requirements, this analysis aims for at least 95% coverage for Scope 3 reporting. This is achieved by systematically evaluating all 15 GHG Protocol Scope 3 categories and including all material sources of emissions, even if secondary data is used for minor contributions. The detailed BOM and lifecycle mapping ensure comprehensive coverage of upstream and downstream impacts.</w:t>
      </w:r>
    </w:p>
    <w:bookmarkEnd w:id="35"/>
    <w:bookmarkStart w:id="41" w:name="Xa9dee544e4761fa9223795d9b6f24feb0fcf489"/>
    <w:p>
      <w:pPr>
        <w:pStyle w:val="Heading3"/>
      </w:pPr>
      <w:r>
        <w:t xml:space="preserve">Illustrative Emissions Calculation Summary (per 1.0 unit of voxmyvznsm):</w:t>
      </w:r>
    </w:p>
    <w:bookmarkStart w:id="36" w:name="materials-upstream-scope-3---category-1"/>
    <w:p>
      <w:pPr>
        <w:pStyle w:val="Heading4"/>
      </w:pPr>
      <w:r>
        <w:t xml:space="preserve">1. Materials (Upstream Scope 3 - Category 1)</w:t>
      </w:r>
    </w:p>
    <w:p>
      <w:pPr>
        <w:pStyle w:val="FirstParagraph"/>
      </w:pPr>
      <w:r>
        <w:t xml:space="preserve">Based on the illustrative BOM, the total carbon from materials is</w:t>
      </w:r>
      <w:r>
        <w:t xml:space="preserve"> </w:t>
      </w:r>
      <w:r>
        <w:rPr>
          <w:bCs/>
          <w:b/>
        </w:rPr>
        <w:t xml:space="preserve">14.515 kgCO2e</w:t>
      </w:r>
      <w:r>
        <w:t xml:space="preserve">. This represents the emissions embedded in the raw materials from their extraction through to delivery at the factory gate.</w:t>
      </w:r>
    </w:p>
    <w:bookmarkEnd w:id="36"/>
    <w:bookmarkStart w:id="37" w:name="production-energy-scope-1-2"/>
    <w:p>
      <w:pPr>
        <w:pStyle w:val="Heading4"/>
      </w:pPr>
      <w:r>
        <w:t xml:space="preserve">2. Production Energy (Scope 1 &amp; 2)</w:t>
      </w:r>
    </w:p>
    <w:p>
      <w:pPr>
        <w:numPr>
          <w:ilvl w:val="0"/>
          <w:numId w:val="1012"/>
        </w:numPr>
        <w:pStyle w:val="Compact"/>
      </w:pPr>
      <w:r>
        <w:rPr>
          <w:bCs/>
          <w:b/>
        </w:rPr>
        <w:t xml:space="preserve">Energy Intensity:</w:t>
      </w:r>
      <w:r>
        <w:t xml:space="preserve"> </w:t>
      </w:r>
      <w:r>
        <w:t xml:space="preserve">wdmkpnhzve kWh/unit (e.g., 15 kWh/unit)</w:t>
      </w:r>
    </w:p>
    <w:p>
      <w:pPr>
        <w:numPr>
          <w:ilvl w:val="0"/>
          <w:numId w:val="1012"/>
        </w:numPr>
        <w:pStyle w:val="Compact"/>
      </w:pPr>
      <w:r>
        <w:rPr>
          <w:bCs/>
          <w:b/>
        </w:rPr>
        <w:t xml:space="preserve">Renewable Energy Usage:</w:t>
      </w:r>
      <w:r>
        <w:t xml:space="preserve"> </w:t>
      </w:r>
      <w:r>
        <w:t xml:space="preserve">kpzfkfzkuz (e.g., 60%)</w:t>
      </w:r>
    </w:p>
    <w:p>
      <w:pPr>
        <w:numPr>
          <w:ilvl w:val="0"/>
          <w:numId w:val="1012"/>
        </w:numPr>
        <w:pStyle w:val="Compact"/>
      </w:pPr>
      <w:r>
        <w:rPr>
          <w:bCs/>
          <w:b/>
        </w:rPr>
        <w:t xml:space="preserve">Non-Renewable Energy:</w:t>
      </w:r>
      <w:r>
        <w:t xml:space="preserve"> </w:t>
      </w:r>
      <w:r>
        <w:t xml:space="preserve">15 kWh/unit * (1 - 0.60) = 6 kWh/unit</w:t>
      </w:r>
    </w:p>
    <w:p>
      <w:pPr>
        <w:numPr>
          <w:ilvl w:val="0"/>
          <w:numId w:val="1012"/>
        </w:numPr>
        <w:pStyle w:val="Compact"/>
      </w:pPr>
      <w:r>
        <w:rPr>
          <w:bCs/>
          <w:b/>
        </w:rPr>
        <w:t xml:space="preserve">Illustrative Grid Emission Factor (China):</w:t>
      </w:r>
      <w:r>
        <w:t xml:space="preserve"> </w:t>
      </w:r>
      <w:r>
        <w:t xml:space="preserve">0.4 kgCO2e/kWh</w:t>
      </w:r>
    </w:p>
    <w:p>
      <w:pPr>
        <w:numPr>
          <w:ilvl w:val="0"/>
          <w:numId w:val="1012"/>
        </w:numPr>
        <w:pStyle w:val="Compact"/>
      </w:pPr>
      <w:r>
        <w:rPr>
          <w:bCs/>
          <w:b/>
        </w:rPr>
        <w:t xml:space="preserve">Illustrative Renewable Energy Residual Emission Factor:</w:t>
      </w:r>
      <w:r>
        <w:t xml:space="preserve"> </w:t>
      </w:r>
      <w:r>
        <w:t xml:space="preserve">0.02 kgCO2e/kWh</w:t>
      </w:r>
    </w:p>
    <w:p>
      <w:pPr>
        <w:numPr>
          <w:ilvl w:val="0"/>
          <w:numId w:val="1012"/>
        </w:numPr>
        <w:pStyle w:val="Compact"/>
      </w:pPr>
      <w:r>
        <w:rPr>
          <w:bCs/>
          <w:b/>
        </w:rPr>
        <w:t xml:space="preserve">Scope 2 Emissions:</w:t>
      </w:r>
      <w:r>
        <w:t xml:space="preserve"> </w:t>
      </w:r>
      <w:r>
        <w:t xml:space="preserve">(6 kWh * 0.4 kgCO2e/kWh) + (9 kWh * 0.02 kgCO2e/kWh) = 2.4 kgCO2e + 0.18 kgCO2e =</w:t>
      </w:r>
      <w:r>
        <w:t xml:space="preserve"> </w:t>
      </w:r>
      <w:r>
        <w:rPr>
          <w:bCs/>
          <w:b/>
        </w:rPr>
        <w:t xml:space="preserve">2.58 kgCO2e</w:t>
      </w:r>
    </w:p>
    <w:p>
      <w:pPr>
        <w:numPr>
          <w:ilvl w:val="0"/>
          <w:numId w:val="1012"/>
        </w:numPr>
        <w:pStyle w:val="Compact"/>
      </w:pPr>
      <w:r>
        <w:rPr>
          <w:bCs/>
          <w:b/>
        </w:rPr>
        <w:t xml:space="preserve">Scope 1 Emissions:</w:t>
      </w:r>
      <w:r>
        <w:t xml:space="preserve"> </w:t>
      </w:r>
      <w:r>
        <w:t xml:space="preserve">(Assumed negligible for direct combustion in manufacturing without specific data. If natural gas or other fuels were used, these would be calculated here). For this illustrative report, let\'s assume 0.1 kgCO2e from minor on-site processes.</w:t>
      </w:r>
    </w:p>
    <w:p>
      <w:pPr>
        <w:numPr>
          <w:ilvl w:val="0"/>
          <w:numId w:val="1012"/>
        </w:numPr>
        <w:pStyle w:val="Compact"/>
      </w:pPr>
      <w:r>
        <w:rPr>
          <w:bCs/>
          <w:b/>
        </w:rPr>
        <w:t xml:space="preserve">Total Production Emissions (Illustrative):</w:t>
      </w:r>
      <w:r>
        <w:t xml:space="preserve"> </w:t>
      </w:r>
      <w:r>
        <w:t xml:space="preserve">2.58 (Scope 2) + 0.1 (Scope 1) =</w:t>
      </w:r>
      <w:r>
        <w:t xml:space="preserve"> </w:t>
      </w:r>
      <w:r>
        <w:rPr>
          <w:bCs/>
          <w:b/>
        </w:rPr>
        <w:t xml:space="preserve">2.68 kgCO2e</w:t>
      </w:r>
    </w:p>
    <w:bookmarkEnd w:id="37"/>
    <w:bookmarkStart w:id="38" w:name="transport-scope-3---category-4-9"/>
    <w:p>
      <w:pPr>
        <w:pStyle w:val="Heading4"/>
      </w:pPr>
      <w:r>
        <w:t xml:space="preserve">3. Transport (Scope 3 - Category 4 &amp; 9)</w:t>
      </w:r>
    </w:p>
    <w:p>
      <w:pPr>
        <w:pStyle w:val="FirstParagraph"/>
      </w:pPr>
      <w:r>
        <w:rPr>
          <w:bCs/>
          <w:b/>
        </w:rPr>
        <w:t xml:space="preserve">Upstream Transport (Raw Materials to Factory in China, Europe Focused):</w:t>
      </w:r>
    </w:p>
    <w:p>
      <w:pPr>
        <w:numPr>
          <w:ilvl w:val="0"/>
          <w:numId w:val="1013"/>
        </w:numPr>
        <w:pStyle w:val="Compact"/>
      </w:pPr>
      <w:r>
        <w:rPr>
          <w:bCs/>
          <w:b/>
        </w:rPr>
        <w:t xml:space="preserve">Mode:</w:t>
      </w:r>
      <w:r>
        <w:t xml:space="preserve"> </w:t>
      </w:r>
      <w:r>
        <w:t xml:space="preserve">Select Mode (e.g., Ocean Freight: 0.5 kg total material mass * 8000 km distance + Road Freight: 0.6 kg total material mass * 500 km distance).</w:t>
      </w:r>
    </w:p>
    <w:p>
      <w:pPr>
        <w:numPr>
          <w:ilvl w:val="0"/>
          <w:numId w:val="1013"/>
        </w:numPr>
        <w:pStyle w:val="Compact"/>
      </w:pPr>
      <w:r>
        <w:rPr>
          <w:bCs/>
          <w:b/>
        </w:rPr>
        <w:t xml:space="preserve">Distance:</w:t>
      </w:r>
      <w:r>
        <w:t xml:space="preserve"> </w:t>
      </w:r>
      <w:r>
        <w:t xml:space="preserve">mnspogwkio (e.g., 8000 km ocean, 500 km road).</w:t>
      </w:r>
    </w:p>
    <w:p>
      <w:pPr>
        <w:numPr>
          <w:ilvl w:val="0"/>
          <w:numId w:val="1013"/>
        </w:numPr>
        <w:pStyle w:val="Compact"/>
      </w:pPr>
      <w:r>
        <w:rPr>
          <w:bCs/>
          <w:b/>
        </w:rPr>
        <w:t xml:space="preserve">Illustrative Emission Factors:</w:t>
      </w:r>
      <w:r>
        <w:t xml:space="preserve"> </w:t>
      </w:r>
      <w:r>
        <w:t xml:space="preserve">Ocean Freight: 0.01 kgCO2e/tkm; Road Freight (HGV): 0.08 kgCO2e/tkm (assuming 1.1 kg total product/packaging mass).</w:t>
      </w:r>
    </w:p>
    <w:p>
      <w:pPr>
        <w:numPr>
          <w:ilvl w:val="0"/>
          <w:numId w:val="1013"/>
        </w:numPr>
        <w:pStyle w:val="Compact"/>
      </w:pPr>
      <w:r>
        <w:rPr>
          <w:bCs/>
          <w:b/>
        </w:rPr>
        <w:t xml:space="preserve">Upstream Transport Emissions:</w:t>
      </w:r>
      <w:r>
        <w:t xml:space="preserve"> </w:t>
      </w:r>
      <w:r>
        <w:t xml:space="preserve">(0.0011 t * 8000 km * 0.01 kgCO2e/tkm) + (0.0011 t * 500 km * 0.08 kgCO2e/tkm) = 0.088 kgCO2e + 0.044 kgCO2e =</w:t>
      </w:r>
      <w:r>
        <w:t xml:space="preserve"> </w:t>
      </w:r>
      <w:r>
        <w:rPr>
          <w:bCs/>
          <w:b/>
        </w:rPr>
        <w:t xml:space="preserve">0.132 kgCO2e</w:t>
      </w:r>
    </w:p>
    <w:p>
      <w:pPr>
        <w:pStyle w:val="FirstParagraph"/>
      </w:pPr>
      <w:r>
        <w:rPr>
          <w:bCs/>
          <w:b/>
        </w:rPr>
        <w:t xml:space="preserve">Downstream Transport (Factory to Customer, including Last-Mile):</w:t>
      </w:r>
    </w:p>
    <w:p>
      <w:pPr>
        <w:numPr>
          <w:ilvl w:val="0"/>
          <w:numId w:val="1014"/>
        </w:numPr>
        <w:pStyle w:val="Compact"/>
      </w:pPr>
      <w:r>
        <w:rPr>
          <w:bCs/>
          <w:b/>
        </w:rPr>
        <w:t xml:space="preserve">Mode:</w:t>
      </w:r>
      <w:r>
        <w:t xml:space="preserve"> </w:t>
      </w:r>
      <w:r>
        <w:t xml:space="preserve">Select Mode (e.g., Road Freight from China to Europe distribution: 5000 km, Last-Mile: Delivery Type - Van Delivery: 100 km).</w:t>
      </w:r>
    </w:p>
    <w:p>
      <w:pPr>
        <w:numPr>
          <w:ilvl w:val="0"/>
          <w:numId w:val="1014"/>
        </w:numPr>
        <w:pStyle w:val="Compact"/>
      </w:pPr>
      <w:r>
        <w:rPr>
          <w:bCs/>
          <w:b/>
        </w:rPr>
        <w:t xml:space="preserve">Distance:</w:t>
      </w:r>
      <w:r>
        <w:t xml:space="preserve"> </w:t>
      </w:r>
      <w:r>
        <w:t xml:space="preserve">mnspogwkio (e.g., 5000 km road to Europe hub, 100 km last-mile).</w:t>
      </w:r>
    </w:p>
    <w:p>
      <w:pPr>
        <w:numPr>
          <w:ilvl w:val="0"/>
          <w:numId w:val="1014"/>
        </w:numPr>
        <w:pStyle w:val="Compact"/>
      </w:pPr>
      <w:r>
        <w:rPr>
          <w:bCs/>
          <w:b/>
        </w:rPr>
        <w:t xml:space="preserve">Illustrative Emission Factors:</w:t>
      </w:r>
      <w:r>
        <w:t xml:space="preserve"> </w:t>
      </w:r>
      <w:r>
        <w:t xml:space="preserve">Road Freight (HGV): 0.08 kgCO2e/tkm; Van Delivery: 0.15 kgCO2e/km (per product for last mile).</w:t>
      </w:r>
    </w:p>
    <w:p>
      <w:pPr>
        <w:numPr>
          <w:ilvl w:val="0"/>
          <w:numId w:val="1014"/>
        </w:numPr>
        <w:pStyle w:val="Compact"/>
      </w:pPr>
      <w:r>
        <w:rPr>
          <w:bCs/>
          <w:b/>
        </w:rPr>
        <w:t xml:space="preserve">Downstream Transport Emissions:</w:t>
      </w:r>
      <w:r>
        <w:t xml:space="preserve"> </w:t>
      </w:r>
      <w:r>
        <w:t xml:space="preserve">(0.0011 t * 5000 km * 0.08 kgCO2e/tkm) + (1 unit * 100 km * 0.00015 kgCO2e/km * 1000g/kg, for 100km, which would be 0.015 kgCO2e/unit-km, or 0.15kg/km for the van, needing a share for one product) = 0.44 kgCO2e + 0.015 kgCO2e =</w:t>
      </w:r>
      <w:r>
        <w:t xml:space="preserve"> </w:t>
      </w:r>
      <w:r>
        <w:rPr>
          <w:bCs/>
          <w:b/>
        </w:rPr>
        <w:t xml:space="preserve">0.455 kgCO2e</w:t>
      </w:r>
      <w:r>
        <w:t xml:space="preserve"> </w:t>
      </w:r>
      <w:r>
        <w:t xml:space="preserve">(assuming shared van capacity for last mile).</w:t>
      </w:r>
    </w:p>
    <w:p>
      <w:pPr>
        <w:numPr>
          <w:ilvl w:val="0"/>
          <w:numId w:val="1014"/>
        </w:numPr>
        <w:pStyle w:val="Compact"/>
      </w:pPr>
      <w:r>
        <w:rPr>
          <w:bCs/>
          <w:b/>
        </w:rPr>
        <w:t xml:space="preserve">Total Transport Emissions (Illustrative):</w:t>
      </w:r>
      <w:r>
        <w:t xml:space="preserve"> </w:t>
      </w:r>
      <w:r>
        <w:t xml:space="preserve">0.132 + 0.455 =</w:t>
      </w:r>
      <w:r>
        <w:t xml:space="preserve"> </w:t>
      </w:r>
      <w:r>
        <w:rPr>
          <w:bCs/>
          <w:b/>
        </w:rPr>
        <w:t xml:space="preserve">0.587 kgCO2e</w:t>
      </w:r>
    </w:p>
    <w:bookmarkEnd w:id="38"/>
    <w:bookmarkStart w:id="39" w:name="Xfc5a66d2c41d82c8971bf9092bcb489424a32c9"/>
    <w:p>
      <w:pPr>
        <w:pStyle w:val="Heading4"/>
      </w:pPr>
      <w:r>
        <w:t xml:space="preserve">4. Use Phase (Downstream Scope 3 - Category 11)</w:t>
      </w:r>
    </w:p>
    <w:p>
      <w:pPr>
        <w:numPr>
          <w:ilvl w:val="0"/>
          <w:numId w:val="1015"/>
        </w:numPr>
        <w:pStyle w:val="Compact"/>
      </w:pPr>
      <w:r>
        <w:rPr>
          <w:bCs/>
          <w:b/>
        </w:rPr>
        <w:t xml:space="preserve">Product Lifespan:</w:t>
      </w:r>
      <w:r>
        <w:t xml:space="preserve"> </w:t>
      </w:r>
      <w:r>
        <w:t xml:space="preserve">gufrqrhumq (e.g., 5 years)</w:t>
      </w:r>
    </w:p>
    <w:p>
      <w:pPr>
        <w:numPr>
          <w:ilvl w:val="0"/>
          <w:numId w:val="1015"/>
        </w:numPr>
        <w:pStyle w:val="Compact"/>
      </w:pPr>
      <w:r>
        <w:rPr>
          <w:bCs/>
          <w:b/>
        </w:rPr>
        <w:t xml:space="preserve">Energy Consumption in Use:</w:t>
      </w:r>
      <w:r>
        <w:t xml:space="preserve"> </w:t>
      </w:r>
      <w:r>
        <w:t xml:space="preserve">rrsytefdxl (e.g., 10 kWh/year)</w:t>
      </w:r>
    </w:p>
    <w:p>
      <w:pPr>
        <w:numPr>
          <w:ilvl w:val="0"/>
          <w:numId w:val="1015"/>
        </w:numPr>
        <w:pStyle w:val="Compact"/>
      </w:pPr>
      <w:r>
        <w:rPr>
          <w:bCs/>
          <w:b/>
        </w:rPr>
        <w:t xml:space="preserve">Total Energy Consumption:</w:t>
      </w:r>
      <w:r>
        <w:t xml:space="preserve"> </w:t>
      </w:r>
      <w:r>
        <w:t xml:space="preserve">10 kWh/year * 5 years = 50 kWh</w:t>
      </w:r>
    </w:p>
    <w:p>
      <w:pPr>
        <w:numPr>
          <w:ilvl w:val="0"/>
          <w:numId w:val="1015"/>
        </w:numPr>
        <w:pStyle w:val="Compact"/>
      </w:pPr>
      <w:r>
        <w:rPr>
          <w:bCs/>
          <w:b/>
        </w:rPr>
        <w:t xml:space="preserve">Illustrative Use Phase Grid Emission Factor:</w:t>
      </w:r>
      <w:r>
        <w:t xml:space="preserve"> </w:t>
      </w:r>
      <w:r>
        <w:t xml:space="preserve">0.2 kgCO2e/kWh (assuming average user country grid mix)</w:t>
      </w:r>
    </w:p>
    <w:p>
      <w:pPr>
        <w:numPr>
          <w:ilvl w:val="0"/>
          <w:numId w:val="1015"/>
        </w:numPr>
        <w:pStyle w:val="Compact"/>
      </w:pPr>
      <w:r>
        <w:rPr>
          <w:bCs/>
          <w:b/>
        </w:rPr>
        <w:t xml:space="preserve">Use Phase Emissions:</w:t>
      </w:r>
      <w:r>
        <w:t xml:space="preserve"> </w:t>
      </w:r>
      <w:r>
        <w:t xml:space="preserve">50 kWh * 0.2 kgCO2e/kWh =</w:t>
      </w:r>
      <w:r>
        <w:t xml:space="preserve"> </w:t>
      </w:r>
      <w:r>
        <w:rPr>
          <w:bCs/>
          <w:b/>
        </w:rPr>
        <w:t xml:space="preserve">10.0 kgCO2e</w:t>
      </w:r>
    </w:p>
    <w:bookmarkEnd w:id="39"/>
    <w:bookmarkStart w:id="40" w:name="X717963e2586ad2d579ab91e5502168cf135dead"/>
    <w:p>
      <w:pPr>
        <w:pStyle w:val="Heading4"/>
      </w:pPr>
      <w:r>
        <w:t xml:space="preserve">5. End-of-Life (Downstream Scope 3 - Category 12)</w:t>
      </w:r>
    </w:p>
    <w:p>
      <w:pPr>
        <w:numPr>
          <w:ilvl w:val="0"/>
          <w:numId w:val="1016"/>
        </w:numPr>
        <w:pStyle w:val="Compact"/>
      </w:pPr>
      <w:r>
        <w:rPr>
          <w:bCs/>
          <w:b/>
        </w:rPr>
        <w:t xml:space="preserve">Recyclability Percentage:</w:t>
      </w:r>
      <w:r>
        <w:t xml:space="preserve"> </w:t>
      </w:r>
      <w:r>
        <w:t xml:space="preserve">gmrvktyrur (e.g., 80%)</w:t>
      </w:r>
    </w:p>
    <w:p>
      <w:pPr>
        <w:numPr>
          <w:ilvl w:val="0"/>
          <w:numId w:val="1016"/>
        </w:numPr>
        <w:pStyle w:val="Compact"/>
      </w:pPr>
      <w:r>
        <w:rPr>
          <w:bCs/>
          <w:b/>
        </w:rPr>
        <w:t xml:space="preserve">Product Total Weight (approx.):</w:t>
      </w:r>
      <w:r>
        <w:t xml:space="preserve"> </w:t>
      </w:r>
      <w:r>
        <w:t xml:space="preserve">1.1 kg (from illustrative BOM sum including packaging)</w:t>
      </w:r>
    </w:p>
    <w:p>
      <w:pPr>
        <w:numPr>
          <w:ilvl w:val="0"/>
          <w:numId w:val="1016"/>
        </w:numPr>
        <w:pStyle w:val="Compact"/>
      </w:pPr>
      <w:r>
        <w:rPr>
          <w:bCs/>
          <w:b/>
        </w:rPr>
        <w:t xml:space="preserve">Recycled Portion:</w:t>
      </w:r>
      <w:r>
        <w:t xml:space="preserve"> </w:t>
      </w:r>
      <w:r>
        <w:t xml:space="preserve">1.1 kg * 0.80 = 0.88 kg</w:t>
      </w:r>
    </w:p>
    <w:p>
      <w:pPr>
        <w:numPr>
          <w:ilvl w:val="0"/>
          <w:numId w:val="1016"/>
        </w:numPr>
        <w:pStyle w:val="Compact"/>
      </w:pPr>
      <w:r>
        <w:rPr>
          <w:bCs/>
          <w:b/>
        </w:rPr>
        <w:t xml:space="preserve">Non-Recycled Portion:</w:t>
      </w:r>
      <w:r>
        <w:t xml:space="preserve"> </w:t>
      </w:r>
      <w:r>
        <w:t xml:space="preserve">1.1 kg * 0.20 = 0.22 kg</w:t>
      </w:r>
    </w:p>
    <w:p>
      <w:pPr>
        <w:numPr>
          <w:ilvl w:val="0"/>
          <w:numId w:val="1016"/>
        </w:numPr>
        <w:pStyle w:val="Compact"/>
      </w:pPr>
      <w:r>
        <w:rPr>
          <w:bCs/>
          <w:b/>
        </w:rPr>
        <w:t xml:space="preserve">Illustrative EoL Emission Factor (Landfill/Incineration for non-recycled):</w:t>
      </w:r>
      <w:r>
        <w:t xml:space="preserve"> </w:t>
      </w:r>
      <w:r>
        <w:t xml:space="preserve">1.5 kgCO2e/kg</w:t>
      </w:r>
    </w:p>
    <w:p>
      <w:pPr>
        <w:numPr>
          <w:ilvl w:val="0"/>
          <w:numId w:val="1016"/>
        </w:numPr>
        <w:pStyle w:val="Compact"/>
      </w:pPr>
      <w:r>
        <w:rPr>
          <w:bCs/>
          <w:b/>
        </w:rPr>
        <w:t xml:space="preserve">Illustrative Recycling Benefit/Credit:</w:t>
      </w:r>
      <w:r>
        <w:t xml:space="preserve"> </w:t>
      </w:r>
      <w:r>
        <w:t xml:space="preserve">-1.0 kgCO2e/kg for recycled material (applies as a reduction, not a positive emission)</w:t>
      </w:r>
    </w:p>
    <w:p>
      <w:pPr>
        <w:numPr>
          <w:ilvl w:val="0"/>
          <w:numId w:val="1016"/>
        </w:numPr>
        <w:pStyle w:val="Compact"/>
      </w:pPr>
      <w:r>
        <w:rPr>
          <w:bCs/>
          <w:b/>
        </w:rPr>
        <w:t xml:space="preserve">EoL Emissions (Disposal):</w:t>
      </w:r>
      <w:r>
        <w:t xml:space="preserve"> </w:t>
      </w:r>
      <w:r>
        <w:t xml:space="preserve">0.22 kg * 1.5 kgCO2e/kg = 0.33 kgCO2e</w:t>
      </w:r>
    </w:p>
    <w:p>
      <w:pPr>
        <w:numPr>
          <w:ilvl w:val="0"/>
          <w:numId w:val="1016"/>
        </w:numPr>
        <w:pStyle w:val="Compact"/>
      </w:pPr>
      <w:r>
        <w:rPr>
          <w:bCs/>
          <w:b/>
        </w:rPr>
        <w:t xml:space="preserve">EoL Emissions (Recycling):</w:t>
      </w:r>
      <w:r>
        <w:t xml:space="preserve"> </w:t>
      </w:r>
      <w:r>
        <w:t xml:space="preserve">(0.88 kg * -1.0 kgCO2e/kg) = -0.88 kgCO2e (as a credit)</w:t>
      </w:r>
    </w:p>
    <w:p>
      <w:pPr>
        <w:numPr>
          <w:ilvl w:val="0"/>
          <w:numId w:val="1016"/>
        </w:numPr>
        <w:pStyle w:val="Compact"/>
      </w:pPr>
      <w:r>
        <w:rPr>
          <w:bCs/>
          <w:b/>
        </w:rPr>
        <w:t xml:space="preserve">Total EoL Impact (Illustrative):</w:t>
      </w:r>
      <w:r>
        <w:t xml:space="preserve"> </w:t>
      </w:r>
      <w:r>
        <w:t xml:space="preserve">0.33 kgCO2e - 0.88 kgCO2e =</w:t>
      </w:r>
      <w:r>
        <w:t xml:space="preserve"> </w:t>
      </w:r>
      <w:r>
        <w:rPr>
          <w:bCs/>
          <w:b/>
        </w:rPr>
        <w:t xml:space="preserve">-0.55 kgCO2e</w:t>
      </w:r>
    </w:p>
    <w:p>
      <w:pPr>
        <w:numPr>
          <w:ilvl w:val="0"/>
          <w:numId w:val="1016"/>
        </w:numPr>
        <w:pStyle w:val="Compact"/>
      </w:pPr>
      <w:r>
        <w:rPr>
          <w:bCs/>
          <w:b/>
        </w:rPr>
        <w:t xml:space="preserve">Circular/Take-back Programs:</w:t>
      </w:r>
      <w:r>
        <w:t xml:space="preserve"> </w:t>
      </w:r>
      <w:r>
        <w:t xml:space="preserve">hwtwyyoodj (e.g., Yes, company-run take-back program). This positively impacts the actual recycling rates and ensures proper end-of-life management, potentially increasing the recycling credit or reducing disposal emissions in practice.</w:t>
      </w:r>
    </w:p>
    <w:bookmarkEnd w:id="40"/>
    <w:bookmarkEnd w:id="41"/>
    <w:bookmarkStart w:id="42" w:name="X38d103ce7387d575e50f217c3c4b573edb6aca7"/>
    <w:p>
      <w:pPr>
        <w:pStyle w:val="Heading3"/>
      </w:pPr>
      <w:r>
        <w:t xml:space="preserve">Total Product Carbon Footprint (Illustrative Summary per 1.0 unit of voxmyvznsm):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 Category</w:t>
            </w:r>
          </w:p>
        </w:tc>
        <w:tc>
          <w:tcPr/>
          <w:p>
            <w:pPr>
              <w:pStyle w:val="Compact"/>
              <w:jc w:val="left"/>
            </w:pPr>
            <w:r>
              <w:t xml:space="preserve">Illustrative Emissions (kgCO2e)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14.515</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0.100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2.580</w:t>
            </w:r>
          </w:p>
        </w:tc>
      </w:tr>
      <w:tr>
        <w:tc>
          <w:tcPr/>
          <w:p>
            <w:pPr>
              <w:pStyle w:val="Compact"/>
              <w:jc w:val="left"/>
            </w:pPr>
            <w:r>
              <w:t xml:space="preserve">Upstream Transport &amp; Distribution</w:t>
            </w:r>
          </w:p>
        </w:tc>
        <w:tc>
          <w:tcPr/>
          <w:p>
            <w:pPr>
              <w:pStyle w:val="Compact"/>
              <w:jc w:val="left"/>
            </w:pPr>
            <w:r>
              <w:t xml:space="preserve">Scope 3 (Category 4)</w:t>
            </w:r>
          </w:p>
        </w:tc>
        <w:tc>
          <w:tcPr/>
          <w:p>
            <w:pPr>
              <w:pStyle w:val="Compact"/>
              <w:jc w:val="left"/>
            </w:pPr>
            <w:r>
              <w:t xml:space="preserve">0.132</w:t>
            </w:r>
          </w:p>
        </w:tc>
      </w:tr>
      <w:tr>
        <w:tc>
          <w:tcPr/>
          <w:p>
            <w:pPr>
              <w:pStyle w:val="Compact"/>
              <w:jc w:val="left"/>
            </w:pPr>
            <w:r>
              <w:t xml:space="preserve">Downstream Transport &amp; Distribution</w:t>
            </w:r>
          </w:p>
        </w:tc>
        <w:tc>
          <w:tcPr/>
          <w:p>
            <w:pPr>
              <w:pStyle w:val="Compact"/>
              <w:jc w:val="left"/>
            </w:pPr>
            <w:r>
              <w:t xml:space="preserve">Scope 3 (Category 9)</w:t>
            </w:r>
          </w:p>
        </w:tc>
        <w:tc>
          <w:tcPr/>
          <w:p>
            <w:pPr>
              <w:pStyle w:val="Compact"/>
              <w:jc w:val="left"/>
            </w:pPr>
            <w:r>
              <w:t xml:space="preserve">0.455</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10.000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-0.550</w:t>
            </w:r>
          </w:p>
        </w:tc>
      </w:tr>
      <w:tr>
        <w:tc>
          <w:tcPr>
            <w:gridSpan w:val="2"/>
          </w:tcPr>
          <w:p>
            <w:pPr>
              <w:pStyle w:val="Compact"/>
              <w:jc w:val="right"/>
            </w:pPr>
            <w:r>
              <w:t xml:space="preserve">TOTAL PRODUCT CARBON FOOTPRINT</w:t>
            </w:r>
          </w:p>
        </w:tc>
        <w:tc>
          <w:tcPr/>
          <w:p>
            <w:pPr>
              <w:pStyle w:val="Compact"/>
              <w:jc w:val="left"/>
            </w:pPr>
            <w:r>
              <w:rPr>
                <w:bCs/>
                <w:b/>
              </w:rPr>
              <w:t xml:space="preserve">27.232 kgCO2e</w:t>
            </w:r>
          </w:p>
        </w:tc>
      </w:tr>
    </w:tbl>
    <w:p>
      <w:r>
        <w:pict>
          <v:rect style="width:0;height:1.5pt" o:hralign="center" o:hrstd="t" o:hr="t"/>
        </w:pict>
      </w:r>
    </w:p>
    <w:bookmarkEnd w:id="42"/>
    <w:bookmarkEnd w:id="43"/>
    <w:bookmarkStart w:id="46" w:name="review-report"/>
    <w:p>
      <w:pPr>
        <w:pStyle w:val="Heading2"/>
      </w:pPr>
      <w:r>
        <w:t xml:space="preserve">5. Review &amp; Report</w:t>
      </w:r>
    </w:p>
    <w:p>
      <w:pPr>
        <w:pStyle w:val="FirstParagraph"/>
      </w:pPr>
      <w:r>
        <w:t xml:space="preserve">The PCF analysis for voxmyvznsm provides critical insights into its environmental impact. Based on the illustrative calculations, the total carbon footprint for one functional unit is approximately</w:t>
      </w:r>
      <w:r>
        <w:t xml:space="preserve"> </w:t>
      </w:r>
      <w:r>
        <w:rPr>
          <w:bCs/>
          <w:b/>
        </w:rPr>
        <w:t xml:space="preserve">27.232 kgCO2e</w:t>
      </w:r>
      <w:r>
        <w:t xml:space="preserve">.</w:t>
      </w:r>
    </w:p>
    <w:bookmarkStart w:id="44" w:name="key-hotspots"/>
    <w:p>
      <w:pPr>
        <w:pStyle w:val="Heading3"/>
      </w:pPr>
      <w:r>
        <w:t xml:space="preserve">Key Hotspots:</w:t>
      </w:r>
    </w:p>
    <w:p>
      <w:pPr>
        <w:numPr>
          <w:ilvl w:val="0"/>
          <w:numId w:val="1017"/>
        </w:numPr>
        <w:pStyle w:val="Compact"/>
      </w:pPr>
      <w:r>
        <w:rPr>
          <w:bCs/>
          <w:b/>
        </w:rPr>
        <w:t xml:space="preserve">Material Acquisition (Upstream Scope 3):</w:t>
      </w:r>
      <w:r>
        <w:t xml:space="preserve"> </w:t>
      </w:r>
      <w:r>
        <w:t xml:space="preserve">Representing a significant portion of the footprint, the aluminum casing and circuit board are notable contributors, highlighting the importance of sustainable sourcing and material efficiency.</w:t>
      </w:r>
    </w:p>
    <w:p>
      <w:pPr>
        <w:numPr>
          <w:ilvl w:val="0"/>
          <w:numId w:val="1017"/>
        </w:numPr>
        <w:pStyle w:val="Compact"/>
      </w:pPr>
      <w:r>
        <w:rPr>
          <w:bCs/>
          <w:b/>
        </w:rPr>
        <w:t xml:space="preserve">Use Phase (Downstream Scope 3):</w:t>
      </w:r>
      <w:r>
        <w:t xml:space="preserve"> </w:t>
      </w:r>
      <w:r>
        <w:t xml:space="preserve">The energy consumption during the product\'s lifespan is a major hotspot, emphasizing the need for energy-efficient design and user education.</w:t>
      </w:r>
    </w:p>
    <w:p>
      <w:pPr>
        <w:numPr>
          <w:ilvl w:val="0"/>
          <w:numId w:val="1017"/>
        </w:numPr>
        <w:pStyle w:val="Compact"/>
      </w:pPr>
      <w:r>
        <w:rPr>
          <w:bCs/>
          <w:b/>
        </w:rPr>
        <w:t xml:space="preserve">Production Energy (Scope 2):</w:t>
      </w:r>
      <w:r>
        <w:t xml:space="preserve"> </w:t>
      </w:r>
      <w:r>
        <w:t xml:space="preserve">While partially mitigated by renewable energy usage, the remaining non-renewable electricity consumption during manufacturing is still a notable contributor.</w:t>
      </w:r>
    </w:p>
    <w:bookmarkEnd w:id="44"/>
    <w:bookmarkStart w:id="45" w:name="reliability-and-recommendations"/>
    <w:p>
      <w:pPr>
        <w:pStyle w:val="Heading3"/>
      </w:pPr>
      <w:r>
        <w:t xml:space="preserve">Reliability and Recommendations:</w:t>
      </w:r>
    </w:p>
    <w:p>
      <w:pPr>
        <w:pStyle w:val="FirstParagraph"/>
      </w:pPr>
      <w:r>
        <w:t xml:space="preserve">The reliability of this PCF relies on the accuracy of the provided activity data and the emission factors used. Further improvements can be achieved through:</w:t>
      </w:r>
    </w:p>
    <w:p>
      <w:pPr>
        <w:numPr>
          <w:ilvl w:val="0"/>
          <w:numId w:val="1018"/>
        </w:numPr>
        <w:pStyle w:val="Compact"/>
      </w:pPr>
      <w:r>
        <w:rPr>
          <w:bCs/>
          <w:b/>
        </w:rPr>
        <w:t xml:space="preserve">Primary Data Collection:</w:t>
      </w:r>
      <w:r>
        <w:t xml:space="preserve"> </w:t>
      </w:r>
      <w:r>
        <w:t xml:space="preserve">Engaging with key suppliers to obtain primary emission data for high-impact materials and components, rather than relying solely on secondary (average) data.</w:t>
      </w:r>
    </w:p>
    <w:p>
      <w:pPr>
        <w:numPr>
          <w:ilvl w:val="0"/>
          <w:numId w:val="1018"/>
        </w:numPr>
        <w:pStyle w:val="Compact"/>
      </w:pPr>
      <w:r>
        <w:rPr>
          <w:bCs/>
          <w:b/>
        </w:rPr>
        <w:t xml:space="preserve">Energy Efficiency:</w:t>
      </w:r>
      <w:r>
        <w:t xml:space="preserve"> </w:t>
      </w:r>
      <w:r>
        <w:t xml:space="preserve">Investing in more energy-efficient manufacturing processes and increasing the percentage of renewable energy usage beyond</w:t>
      </w:r>
      <w:r>
        <w:t xml:space="preserve"> </w:t>
      </w:r>
      <w:r>
        <w:rPr>
          <w:bCs/>
          <w:b/>
        </w:rPr>
        <w:t xml:space="preserve">kpzfkfzkuz</w:t>
      </w:r>
      <w:r>
        <w:t xml:space="preserve"> </w:t>
      </w:r>
      <w:r>
        <w:t xml:space="preserve">to further reduce Scope 2 emissions.</w:t>
      </w:r>
    </w:p>
    <w:p>
      <w:pPr>
        <w:numPr>
          <w:ilvl w:val="0"/>
          <w:numId w:val="1018"/>
        </w:numPr>
        <w:pStyle w:val="Compact"/>
      </w:pPr>
      <w:r>
        <w:rPr>
          <w:bCs/>
          <w:b/>
        </w:rPr>
        <w:t xml:space="preserve">Product Design for Circularity:</w:t>
      </w:r>
      <w:r>
        <w:t xml:space="preserve"> </w:t>
      </w:r>
      <w:r>
        <w:t xml:space="preserve">Enhancing the design of voxmyvznsm to further improve material recyclability beyond</w:t>
      </w:r>
      <w:r>
        <w:t xml:space="preserve"> </w:t>
      </w:r>
      <w:r>
        <w:rPr>
          <w:bCs/>
          <w:b/>
        </w:rPr>
        <w:t xml:space="preserve">gmrvktyrur</w:t>
      </w:r>
      <w:r>
        <w:t xml:space="preserve"> </w:t>
      </w:r>
      <w:r>
        <w:t xml:space="preserve">and extend product lifespan (</w:t>
      </w:r>
      <w:r>
        <w:rPr>
          <w:bCs/>
          <w:b/>
        </w:rPr>
        <w:t xml:space="preserve">gufrqrhumq</w:t>
      </w:r>
      <w:r>
        <w:t xml:space="preserve">), leveraging the existing</w:t>
      </w:r>
      <w:r>
        <w:t xml:space="preserve"> </w:t>
      </w:r>
      <w:r>
        <w:rPr>
          <w:bCs/>
          <w:b/>
        </w:rPr>
        <w:t xml:space="preserve">hwtwyyoodj</w:t>
      </w:r>
      <w:r>
        <w:t xml:space="preserve"> </w:t>
      </w:r>
      <w:r>
        <w:t xml:space="preserve">take-back programs.</w:t>
      </w:r>
    </w:p>
    <w:p>
      <w:pPr>
        <w:numPr>
          <w:ilvl w:val="0"/>
          <w:numId w:val="1018"/>
        </w:numPr>
        <w:pStyle w:val="Compact"/>
      </w:pPr>
      <w:r>
        <w:rPr>
          <w:bCs/>
          <w:b/>
        </w:rPr>
        <w:t xml:space="preserve">User Behavior Influence:</w:t>
      </w:r>
      <w:r>
        <w:t xml:space="preserve"> </w:t>
      </w:r>
      <w:r>
        <w:t xml:space="preserve">Developing strategies to encourage efficient product usage and reduce energy consumption in the use phase (</w:t>
      </w:r>
      <w:r>
        <w:rPr>
          <w:bCs/>
          <w:b/>
        </w:rPr>
        <w:t xml:space="preserve">rrsytefdxl</w:t>
      </w:r>
      <w:r>
        <w:t xml:space="preserve">).</w:t>
      </w:r>
    </w:p>
    <w:p>
      <w:pPr>
        <w:numPr>
          <w:ilvl w:val="0"/>
          <w:numId w:val="1018"/>
        </w:numPr>
        <w:pStyle w:val="Compact"/>
      </w:pPr>
      <w:r>
        <w:rPr>
          <w:bCs/>
          <w:b/>
        </w:rPr>
        <w:t xml:space="preserve">Logistics Optimization:</w:t>
      </w:r>
      <w:r>
        <w:t xml:space="preserve"> </w:t>
      </w:r>
      <w:r>
        <w:t xml:space="preserve">Exploring more carbon-efficient transport modes and optimizing transport routes and loads for both inbound and outbound logistics (</w:t>
      </w:r>
      <w:r>
        <w:rPr>
          <w:bCs/>
          <w:b/>
        </w:rPr>
        <w:t xml:space="preserve">Select Mode</w:t>
      </w:r>
      <w:r>
        <w:t xml:space="preserve">,</w:t>
      </w:r>
      <w:r>
        <w:t xml:space="preserve"> </w:t>
      </w:r>
      <w:r>
        <w:rPr>
          <w:bCs/>
          <w:b/>
        </w:rPr>
        <w:t xml:space="preserve">mnspogwkio</w:t>
      </w:r>
      <w:r>
        <w:t xml:space="preserve">,</w:t>
      </w:r>
      <w:r>
        <w:t xml:space="preserve"> </w:t>
      </w:r>
      <w:r>
        <w:rPr>
          <w:bCs/>
          <w:b/>
        </w:rPr>
        <w:t xml:space="preserve">Delivery Type</w:t>
      </w:r>
      <w:r>
        <w:t xml:space="preserve">).</w:t>
      </w:r>
    </w:p>
    <w:p>
      <w:pPr>
        <w:pStyle w:val="FirstParagraph"/>
      </w:pPr>
      <w:r>
        <w:t xml:space="preserve">By focusing on these hotspots and implementing the recommended strategies, yudeeekqxw can significantly reduce the environmental impact of voxmyvznsm and reinforce its commitment to sustainability as measured by the GHG Protocol.</w:t>
      </w:r>
    </w:p>
    <w:bookmarkEnd w:id="45"/>
    <w:bookmarkEnd w:id="46"/>
    <w:bookmarkEnd w:id="47"/>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voxmyvznsm</dc:title>
  <dc:creator/>
  <dc:description>Detailed Product Carbon Footprint (PCF) analysis report for voxmyvznsm, prepared by Senior Sustainability Consultant rpddmugqtp for yudeeekqxw, adhering to GHG Protocol standards.</dc:description>
  <dc:language>en</dc:language>
  <cp:keywords/>
  <dcterms:created xsi:type="dcterms:W3CDTF">2026-05-30T15:58:16Z</dcterms:created>
  <dcterms:modified xsi:type="dcterms:W3CDTF">2026-05-30T15:58:16Z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